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5D" w:rsidRPr="00AF60DF" w:rsidRDefault="006C605D" w:rsidP="00421F64">
      <w:pPr>
        <w:pStyle w:val="Subtitle"/>
        <w:rPr>
          <w:szCs w:val="22"/>
        </w:rPr>
      </w:pPr>
      <w:r w:rsidRPr="00AF60DF">
        <w:rPr>
          <w:szCs w:val="22"/>
        </w:rPr>
        <w:t>HORNTON PARISH COUNCIL</w:t>
      </w:r>
    </w:p>
    <w:p w:rsidR="00A825B6" w:rsidRPr="00AF60DF" w:rsidRDefault="00A825B6" w:rsidP="00272651">
      <w:pPr>
        <w:pStyle w:val="Subtitle"/>
        <w:rPr>
          <w:szCs w:val="22"/>
        </w:rPr>
      </w:pPr>
      <w:r w:rsidRPr="00AF60DF">
        <w:rPr>
          <w:szCs w:val="22"/>
        </w:rPr>
        <w:t xml:space="preserve">MINUTES OF </w:t>
      </w:r>
      <w:r w:rsidR="002F009D" w:rsidRPr="00AF60DF">
        <w:rPr>
          <w:szCs w:val="22"/>
        </w:rPr>
        <w:t>PARISH COUNCIL MEETING</w:t>
      </w:r>
      <w:r w:rsidR="00BC66D6" w:rsidRPr="00AF60DF">
        <w:rPr>
          <w:szCs w:val="22"/>
        </w:rPr>
        <w:t xml:space="preserve"> HELD ONLINE</w:t>
      </w:r>
      <w:r w:rsidRPr="00AF60DF">
        <w:rPr>
          <w:szCs w:val="22"/>
        </w:rPr>
        <w:t xml:space="preserve"> </w:t>
      </w:r>
    </w:p>
    <w:p w:rsidR="006C605D" w:rsidRPr="00AF60DF" w:rsidRDefault="006C605D" w:rsidP="00272651">
      <w:pPr>
        <w:pStyle w:val="Subtitle"/>
        <w:rPr>
          <w:szCs w:val="22"/>
        </w:rPr>
      </w:pPr>
      <w:r w:rsidRPr="00AF60DF">
        <w:rPr>
          <w:szCs w:val="22"/>
        </w:rPr>
        <w:t>ON</w:t>
      </w:r>
      <w:r w:rsidR="00A825B6" w:rsidRPr="00AF60DF">
        <w:rPr>
          <w:szCs w:val="22"/>
        </w:rPr>
        <w:t xml:space="preserve"> </w:t>
      </w:r>
      <w:r w:rsidR="00D00B6A" w:rsidRPr="00AF60DF">
        <w:rPr>
          <w:szCs w:val="22"/>
        </w:rPr>
        <w:t xml:space="preserve">MONDAY </w:t>
      </w:r>
      <w:r w:rsidR="00037D5F">
        <w:rPr>
          <w:szCs w:val="22"/>
        </w:rPr>
        <w:t>8</w:t>
      </w:r>
      <w:r w:rsidR="00B01804">
        <w:rPr>
          <w:szCs w:val="22"/>
          <w:vertAlign w:val="superscript"/>
        </w:rPr>
        <w:t xml:space="preserve">TH </w:t>
      </w:r>
      <w:r w:rsidR="00037D5F">
        <w:rPr>
          <w:szCs w:val="22"/>
        </w:rPr>
        <w:t>FEBRUARY</w:t>
      </w:r>
      <w:r w:rsidR="00A41934" w:rsidRPr="00AF60DF">
        <w:rPr>
          <w:szCs w:val="22"/>
        </w:rPr>
        <w:t xml:space="preserve"> </w:t>
      </w:r>
      <w:r w:rsidR="00037D5F">
        <w:rPr>
          <w:szCs w:val="22"/>
        </w:rPr>
        <w:t>2021</w:t>
      </w:r>
      <w:r w:rsidRPr="00AF60DF">
        <w:rPr>
          <w:szCs w:val="22"/>
        </w:rPr>
        <w:t xml:space="preserve"> AT 7.30pm</w:t>
      </w:r>
    </w:p>
    <w:p w:rsidR="00C03829" w:rsidRPr="00AF60DF" w:rsidRDefault="00C03829" w:rsidP="00FF4936">
      <w:pPr>
        <w:pStyle w:val="Title"/>
        <w:ind w:left="426"/>
        <w:rPr>
          <w:rFonts w:ascii="Arial" w:hAnsi="Arial" w:cs="Arial"/>
          <w:sz w:val="22"/>
          <w:szCs w:val="22"/>
        </w:rPr>
      </w:pPr>
    </w:p>
    <w:p w:rsidR="00C03829" w:rsidRPr="00AF60DF" w:rsidRDefault="00C03829" w:rsidP="00FF4936">
      <w:pPr>
        <w:ind w:left="426"/>
      </w:pPr>
      <w:r w:rsidRPr="00AF60DF">
        <w:rPr>
          <w:b/>
        </w:rPr>
        <w:t>Present:</w:t>
      </w:r>
      <w:r w:rsidR="00BC66D6" w:rsidRPr="00AF60DF">
        <w:t xml:space="preserve"> Councillors</w:t>
      </w:r>
      <w:r w:rsidR="00B01804">
        <w:t xml:space="preserve"> </w:t>
      </w:r>
      <w:r w:rsidR="005C18F8" w:rsidRPr="00AF60DF">
        <w:t>Mckenzie</w:t>
      </w:r>
      <w:r w:rsidR="008E6917" w:rsidRPr="00AF60DF">
        <w:t>, Offord</w:t>
      </w:r>
      <w:r w:rsidR="00037D5F">
        <w:t>,</w:t>
      </w:r>
      <w:r w:rsidR="005C18F8" w:rsidRPr="00AF60DF">
        <w:t xml:space="preserve"> </w:t>
      </w:r>
      <w:r w:rsidR="00212CCB" w:rsidRPr="00AF60DF">
        <w:t xml:space="preserve">Overton, </w:t>
      </w:r>
      <w:r w:rsidR="005C18F8" w:rsidRPr="00AF60DF">
        <w:t>Woodcock</w:t>
      </w:r>
      <w:r w:rsidR="00B01804">
        <w:t xml:space="preserve">, </w:t>
      </w:r>
      <w:r w:rsidR="00465479">
        <w:t xml:space="preserve">Burden, </w:t>
      </w:r>
      <w:r w:rsidR="00B01804">
        <w:t>Hewlett</w:t>
      </w:r>
      <w:r w:rsidRPr="00AF60DF">
        <w:t xml:space="preserve"> and </w:t>
      </w:r>
      <w:r w:rsidR="00375B3B" w:rsidRPr="00AF60DF">
        <w:t>Wain</w:t>
      </w:r>
    </w:p>
    <w:p w:rsidR="00B6037A" w:rsidRPr="00AF60DF" w:rsidRDefault="00BE4BCD" w:rsidP="00FF4936">
      <w:pPr>
        <w:ind w:left="426"/>
      </w:pPr>
      <w:r w:rsidRPr="00AF60DF">
        <w:rPr>
          <w:b/>
        </w:rPr>
        <w:t>Also in attendance</w:t>
      </w:r>
      <w:r w:rsidRPr="00AF60DF">
        <w:t>:</w:t>
      </w:r>
      <w:r w:rsidR="00975A70" w:rsidRPr="00AF60DF">
        <w:t xml:space="preserve"> </w:t>
      </w:r>
      <w:r w:rsidR="00C03829" w:rsidRPr="00AF60DF">
        <w:t>Clerk &amp; RFO Cindy Kober</w:t>
      </w:r>
      <w:r w:rsidR="008E6917" w:rsidRPr="00AF60DF">
        <w:t>l</w:t>
      </w:r>
      <w:r w:rsidR="00037D5F">
        <w:t>, Clerk Fiona Donaldson</w:t>
      </w:r>
    </w:p>
    <w:p w:rsidR="005E5836" w:rsidRDefault="005E5836" w:rsidP="00082C43">
      <w:pPr>
        <w:pStyle w:val="headingsmin"/>
        <w:ind w:left="709"/>
      </w:pPr>
      <w:r w:rsidRPr="00AF60DF">
        <w:t>APOLOGIES</w:t>
      </w:r>
    </w:p>
    <w:p w:rsidR="00BC66D6" w:rsidRPr="00AF60DF" w:rsidRDefault="00465479" w:rsidP="00BC66D6">
      <w:pPr>
        <w:rPr>
          <w:b/>
          <w:bCs/>
        </w:rPr>
      </w:pPr>
      <w:r>
        <w:t>There were no apologies.</w:t>
      </w:r>
    </w:p>
    <w:p w:rsidR="0074679F" w:rsidRPr="00AF60DF" w:rsidRDefault="0074679F" w:rsidP="00082C43">
      <w:pPr>
        <w:pStyle w:val="headingsmin"/>
        <w:ind w:left="709"/>
      </w:pPr>
      <w:r w:rsidRPr="00AF60DF">
        <w:t>DECLARATIONS OF INTEREST</w:t>
      </w:r>
    </w:p>
    <w:p w:rsidR="00B01804" w:rsidRPr="00AF60DF" w:rsidRDefault="00465479" w:rsidP="003B0BC5">
      <w:pPr>
        <w:pStyle w:val="ListParagraph"/>
        <w:ind w:left="709"/>
      </w:pPr>
      <w:r>
        <w:t>There were no declarations of interest.</w:t>
      </w:r>
    </w:p>
    <w:p w:rsidR="00464B48" w:rsidRPr="00AF60DF" w:rsidRDefault="00FA0D61" w:rsidP="00082C43">
      <w:pPr>
        <w:pStyle w:val="headingsmin"/>
        <w:ind w:left="709"/>
      </w:pPr>
      <w:r w:rsidRPr="00AF60DF">
        <w:t>PUBLIC PARTICIPATION SESSION</w:t>
      </w:r>
    </w:p>
    <w:p w:rsidR="001B758F" w:rsidRPr="00054CFD" w:rsidRDefault="00037D5F" w:rsidP="00054CFD">
      <w:pPr>
        <w:widowControl w:val="0"/>
        <w:suppressAutoHyphens/>
        <w:spacing w:after="0" w:line="240" w:lineRule="auto"/>
        <w:ind w:left="716"/>
        <w:rPr>
          <w:szCs w:val="24"/>
        </w:rPr>
      </w:pPr>
      <w:r>
        <w:rPr>
          <w:szCs w:val="24"/>
        </w:rPr>
        <w:t>Mr./Mrs. Corke, Mr</w:t>
      </w:r>
      <w:r w:rsidR="004551CC">
        <w:rPr>
          <w:szCs w:val="24"/>
        </w:rPr>
        <w:t>./Mr</w:t>
      </w:r>
      <w:r>
        <w:rPr>
          <w:szCs w:val="24"/>
        </w:rPr>
        <w:t>s.</w:t>
      </w:r>
      <w:r w:rsidR="004551CC">
        <w:rPr>
          <w:szCs w:val="24"/>
        </w:rPr>
        <w:t xml:space="preserve"> P.</w:t>
      </w:r>
      <w:r>
        <w:rPr>
          <w:szCs w:val="24"/>
        </w:rPr>
        <w:t xml:space="preserve"> Joyner, Mrs. Woodcock, Mr. Leay, </w:t>
      </w:r>
      <w:r w:rsidR="004551CC">
        <w:rPr>
          <w:szCs w:val="24"/>
        </w:rPr>
        <w:t>Mr. Lemon,</w:t>
      </w:r>
      <w:r w:rsidR="00414FE8">
        <w:rPr>
          <w:szCs w:val="24"/>
        </w:rPr>
        <w:t xml:space="preserve"> </w:t>
      </w:r>
      <w:r w:rsidR="004551CC">
        <w:rPr>
          <w:szCs w:val="24"/>
        </w:rPr>
        <w:t xml:space="preserve">Mr. </w:t>
      </w:r>
      <w:r w:rsidR="00414FE8" w:rsidRPr="00414FE8">
        <w:rPr>
          <w:szCs w:val="24"/>
        </w:rPr>
        <w:t>Langton</w:t>
      </w:r>
      <w:r w:rsidR="00414FE8">
        <w:rPr>
          <w:szCs w:val="24"/>
        </w:rPr>
        <w:t xml:space="preserve">, </w:t>
      </w:r>
      <w:r w:rsidR="004551CC">
        <w:rPr>
          <w:szCs w:val="24"/>
        </w:rPr>
        <w:t xml:space="preserve">Mr./Mrs. </w:t>
      </w:r>
      <w:r w:rsidR="00414FE8" w:rsidRPr="00414FE8">
        <w:rPr>
          <w:szCs w:val="24"/>
        </w:rPr>
        <w:t>Bellamy</w:t>
      </w:r>
      <w:r w:rsidR="00414FE8">
        <w:rPr>
          <w:szCs w:val="24"/>
        </w:rPr>
        <w:t xml:space="preserve">, </w:t>
      </w:r>
      <w:r w:rsidR="00414FE8" w:rsidRPr="00414FE8">
        <w:rPr>
          <w:szCs w:val="24"/>
        </w:rPr>
        <w:t>Mrs. Fricke</w:t>
      </w:r>
      <w:r w:rsidR="004551CC">
        <w:rPr>
          <w:szCs w:val="24"/>
        </w:rPr>
        <w:t>,</w:t>
      </w:r>
      <w:r w:rsidR="00414FE8">
        <w:rPr>
          <w:szCs w:val="24"/>
        </w:rPr>
        <w:t xml:space="preserve"> </w:t>
      </w:r>
      <w:r w:rsidR="00414FE8" w:rsidRPr="00414FE8">
        <w:rPr>
          <w:szCs w:val="24"/>
        </w:rPr>
        <w:t>Mr. Protheroe</w:t>
      </w:r>
      <w:r w:rsidR="00414FE8">
        <w:rPr>
          <w:szCs w:val="24"/>
        </w:rPr>
        <w:t xml:space="preserve">, </w:t>
      </w:r>
      <w:r w:rsidR="00414FE8" w:rsidRPr="00414FE8">
        <w:rPr>
          <w:szCs w:val="24"/>
        </w:rPr>
        <w:t>Mr. Hill</w:t>
      </w:r>
      <w:r w:rsidR="00414FE8">
        <w:rPr>
          <w:szCs w:val="24"/>
        </w:rPr>
        <w:t xml:space="preserve">, </w:t>
      </w:r>
      <w:r w:rsidR="00414FE8" w:rsidRPr="00414FE8">
        <w:rPr>
          <w:szCs w:val="24"/>
        </w:rPr>
        <w:t>Mr. Mills</w:t>
      </w:r>
      <w:r>
        <w:rPr>
          <w:szCs w:val="24"/>
        </w:rPr>
        <w:t xml:space="preserve"> </w:t>
      </w:r>
      <w:r w:rsidR="00465479">
        <w:rPr>
          <w:szCs w:val="24"/>
        </w:rPr>
        <w:t>-, with respect to i</w:t>
      </w:r>
      <w:r>
        <w:rPr>
          <w:szCs w:val="24"/>
        </w:rPr>
        <w:t>tem 12</w:t>
      </w:r>
      <w:r w:rsidR="0069097A">
        <w:rPr>
          <w:szCs w:val="24"/>
        </w:rPr>
        <w:t xml:space="preserve"> on the agenda. </w:t>
      </w:r>
      <w:r w:rsidR="001B758F">
        <w:t>The chair moved agenda item 12 forward for the public participation session.</w:t>
      </w:r>
    </w:p>
    <w:p w:rsidR="001B758F" w:rsidRDefault="001B758F" w:rsidP="00E25E24">
      <w:pPr>
        <w:pStyle w:val="headings"/>
        <w:numPr>
          <w:ilvl w:val="0"/>
          <w:numId w:val="0"/>
        </w:numPr>
        <w:spacing w:before="240"/>
        <w:ind w:left="928" w:hanging="644"/>
      </w:pPr>
      <w:r>
        <w:t xml:space="preserve">12. </w:t>
      </w:r>
      <w:r w:rsidR="00A44977">
        <w:t xml:space="preserve">  motocross</w:t>
      </w:r>
    </w:p>
    <w:p w:rsidR="00444EC3" w:rsidRPr="00444EC3" w:rsidRDefault="00444EC3" w:rsidP="00444EC3">
      <w:r w:rsidRPr="00444EC3">
        <w:t xml:space="preserve">Mr. Leay, the Parish Council (PC)’s planning consultant, summarised where we were with Motocross planning application so far. Cherwell District Council (CDC) had decided that an  Environment Impact Assessment (EIA) would not be required and granted the applicant an extension to the planning application deadline of 12 February. The PC would submit the materials to respond to any application within three weeks upon receiving the application with its legal representatives. Individuals sending their comments to CDC planning would be very much encouraged. </w:t>
      </w:r>
    </w:p>
    <w:p w:rsidR="00444EC3" w:rsidRPr="00444EC3" w:rsidRDefault="00444EC3" w:rsidP="00444EC3">
      <w:pPr>
        <w:rPr>
          <w:b/>
          <w:i/>
        </w:rPr>
      </w:pPr>
      <w:r w:rsidRPr="00444EC3">
        <w:t>Mr. Leay and councillors answered the following questions from the members of the public:</w:t>
      </w:r>
    </w:p>
    <w:p w:rsidR="00444EC3" w:rsidRPr="00444EC3" w:rsidRDefault="00444EC3" w:rsidP="00444EC3">
      <w:pPr>
        <w:rPr>
          <w:b/>
          <w:i/>
        </w:rPr>
      </w:pPr>
      <w:r w:rsidRPr="00444EC3">
        <w:rPr>
          <w:b/>
          <w:i/>
        </w:rPr>
        <w:t>Would we be doing anything about CDC’s decision that an EIA was not required?</w:t>
      </w:r>
    </w:p>
    <w:p w:rsidR="00444EC3" w:rsidRPr="00444EC3" w:rsidRDefault="00444EC3" w:rsidP="00444EC3">
      <w:r w:rsidRPr="00444EC3">
        <w:t>CDC did not consult on this. The applicant's submission requesting a screening and scoping opinion was felt to be misleading in some areas e</w:t>
      </w:r>
      <w:r w:rsidR="00823A85">
        <w:t>.</w:t>
      </w:r>
      <w:r w:rsidRPr="00444EC3">
        <w:t>g</w:t>
      </w:r>
      <w:r w:rsidR="00823A85">
        <w:t>.</w:t>
      </w:r>
      <w:r w:rsidRPr="00444EC3">
        <w:t xml:space="preserve"> in the track having no detrimental impact on neighbouring houses. It was agreed to write to CDC highlighting where we felt the information provided was incorrect and Mr Leay will advise on the text of a letter already drafted.</w:t>
      </w:r>
    </w:p>
    <w:p w:rsidR="00823A85" w:rsidRPr="00823A85" w:rsidRDefault="00823A85" w:rsidP="00823A85">
      <w:pPr>
        <w:rPr>
          <w:b/>
          <w:i/>
        </w:rPr>
      </w:pPr>
      <w:r w:rsidRPr="00823A85">
        <w:rPr>
          <w:b/>
          <w:i/>
        </w:rPr>
        <w:t>Would our case strengthened with the support of neighbouring PCs?</w:t>
      </w:r>
    </w:p>
    <w:p w:rsidR="00823A85" w:rsidRPr="00823A85" w:rsidRDefault="00823A85" w:rsidP="00823A85">
      <w:r>
        <w:t>Hornton PC had</w:t>
      </w:r>
      <w:r w:rsidRPr="00823A85">
        <w:t xml:space="preserve"> been liaising with the neighbouring PCs and had received support from individuals. Unfortunately due to the geography, Hornton is worst affected, other than  houses in Wroxton Heath. We were working closely with other PCs and understood that CDC had not communicated with Wroxton and </w:t>
      </w:r>
      <w:proofErr w:type="spellStart"/>
      <w:r w:rsidRPr="00823A85">
        <w:t>Balscote</w:t>
      </w:r>
      <w:proofErr w:type="spellEnd"/>
      <w:r w:rsidRPr="00823A85">
        <w:t xml:space="preserve"> PC on the delay to the application.</w:t>
      </w:r>
    </w:p>
    <w:p w:rsidR="00823A85" w:rsidRPr="00823A85" w:rsidRDefault="00823A85" w:rsidP="00823A85">
      <w:pPr>
        <w:rPr>
          <w:b/>
          <w:i/>
        </w:rPr>
      </w:pPr>
      <w:r w:rsidRPr="00823A85">
        <w:rPr>
          <w:b/>
          <w:i/>
        </w:rPr>
        <w:t>On what basis was the extension of application granted, after the missed 6 January key deadline and, if the application was not submitted, what wou</w:t>
      </w:r>
      <w:r>
        <w:rPr>
          <w:b/>
          <w:i/>
        </w:rPr>
        <w:t>l</w:t>
      </w:r>
      <w:r w:rsidRPr="00823A85">
        <w:rPr>
          <w:b/>
          <w:i/>
        </w:rPr>
        <w:t>d happen?</w:t>
      </w:r>
    </w:p>
    <w:p w:rsidR="00823A85" w:rsidRPr="00823A85" w:rsidRDefault="00823A85" w:rsidP="00823A85">
      <w:r w:rsidRPr="00823A85">
        <w:t>CDC granted the extension of application submission date because the applicant claimed there was enough time due to COVID restrictions. If the extended deadline was not met, we would go back to the route of enforcement, CDC had advised.</w:t>
      </w:r>
    </w:p>
    <w:p w:rsidR="00823A85" w:rsidRPr="00823A85" w:rsidRDefault="00823A85" w:rsidP="00823A85">
      <w:pPr>
        <w:rPr>
          <w:b/>
          <w:i/>
        </w:rPr>
      </w:pPr>
      <w:r w:rsidRPr="00823A85">
        <w:rPr>
          <w:b/>
          <w:i/>
        </w:rPr>
        <w:t>What was the priority of the Motocross fund?</w:t>
      </w:r>
    </w:p>
    <w:p w:rsidR="00823A85" w:rsidRPr="00823A85" w:rsidRDefault="00823A85" w:rsidP="00823A85">
      <w:r w:rsidRPr="00823A85">
        <w:t xml:space="preserve">The PC was focusing on getting a fair result from CDC, based on planning principles, and minimising the impact of the track's recent significant intensification. </w:t>
      </w:r>
    </w:p>
    <w:p w:rsidR="00823A85" w:rsidRPr="00823A85" w:rsidRDefault="00823A85" w:rsidP="00823A85">
      <w:pPr>
        <w:rPr>
          <w:b/>
          <w:i/>
        </w:rPr>
      </w:pPr>
      <w:r w:rsidRPr="00823A85">
        <w:rPr>
          <w:b/>
          <w:i/>
        </w:rPr>
        <w:lastRenderedPageBreak/>
        <w:t>What could we do to help?</w:t>
      </w:r>
    </w:p>
    <w:p w:rsidR="00823A85" w:rsidRPr="00823A85" w:rsidRDefault="00823A85" w:rsidP="00823A85">
      <w:r w:rsidRPr="00823A85">
        <w:t>Once the application is submitted, as many villagers as possible should write to CDC in their own words and also involve local press, ward councillors and our MP.</w:t>
      </w:r>
    </w:p>
    <w:p w:rsidR="00823A85" w:rsidRPr="00823A85" w:rsidRDefault="00823A85" w:rsidP="00823A85">
      <w:pPr>
        <w:rPr>
          <w:b/>
          <w:i/>
        </w:rPr>
      </w:pPr>
      <w:r w:rsidRPr="00823A85">
        <w:rPr>
          <w:b/>
          <w:i/>
        </w:rPr>
        <w:t>Would the planning committee view the application as new?</w:t>
      </w:r>
    </w:p>
    <w:p w:rsidR="00823A85" w:rsidRPr="00823A85" w:rsidRDefault="00823A85" w:rsidP="00823A85">
      <w:r w:rsidRPr="00823A85">
        <w:t>Clearly the history of the site would be considered.</w:t>
      </w:r>
    </w:p>
    <w:p w:rsidR="00823A85" w:rsidRPr="00823A85" w:rsidRDefault="00823A85" w:rsidP="00823A85">
      <w:pPr>
        <w:rPr>
          <w:b/>
          <w:i/>
        </w:rPr>
      </w:pPr>
      <w:r w:rsidRPr="00823A85">
        <w:rPr>
          <w:b/>
          <w:i/>
        </w:rPr>
        <w:t>There were existing cases that CDC refused expansion.</w:t>
      </w:r>
    </w:p>
    <w:p w:rsidR="00823A85" w:rsidRPr="00823A85" w:rsidRDefault="00823A85" w:rsidP="00823A85">
      <w:r w:rsidRPr="00823A85">
        <w:t xml:space="preserve">It was suggested that we could use the existing cases to back us up. For example, the expansion of a Cherwell sport venue was refused due to sustainability principles. </w:t>
      </w:r>
    </w:p>
    <w:p w:rsidR="00823A85" w:rsidRPr="00823A85" w:rsidRDefault="00823A85" w:rsidP="00823A85">
      <w:pPr>
        <w:rPr>
          <w:b/>
          <w:i/>
        </w:rPr>
      </w:pPr>
      <w:r w:rsidRPr="00823A85">
        <w:rPr>
          <w:b/>
          <w:i/>
        </w:rPr>
        <w:t>Would the PC send a copy of their objection to CDC Planning Committee members?</w:t>
      </w:r>
    </w:p>
    <w:p w:rsidR="00823A85" w:rsidRPr="00823A85" w:rsidRDefault="00823A85" w:rsidP="00823A85">
      <w:r w:rsidRPr="00823A85">
        <w:t>Definitely but a summary would be recommended. The PC would also have the right to speak to the committee.</w:t>
      </w:r>
    </w:p>
    <w:p w:rsidR="00823A85" w:rsidRPr="00823A85" w:rsidRDefault="00823A85" w:rsidP="00823A85">
      <w:pPr>
        <w:rPr>
          <w:b/>
          <w:i/>
        </w:rPr>
      </w:pPr>
      <w:r w:rsidRPr="00823A85">
        <w:rPr>
          <w:b/>
          <w:i/>
        </w:rPr>
        <w:t>Could the PC appeal if the planning application was permitted?</w:t>
      </w:r>
    </w:p>
    <w:p w:rsidR="00823A85" w:rsidRPr="00823A85" w:rsidRDefault="00823A85" w:rsidP="00823A85">
      <w:r w:rsidRPr="00823A85">
        <w:t>The applicant could appeal if the application was refused but if it was permitted, the PC could only go down the judicial review route.</w:t>
      </w:r>
    </w:p>
    <w:p w:rsidR="00823A85" w:rsidRPr="00823A85" w:rsidRDefault="00823A85" w:rsidP="00823A85">
      <w:pPr>
        <w:rPr>
          <w:b/>
          <w:i/>
        </w:rPr>
      </w:pPr>
      <w:r w:rsidRPr="00823A85">
        <w:rPr>
          <w:b/>
          <w:i/>
        </w:rPr>
        <w:t>What was PC’s aim and who oversees the enforcement, assuming we get what we wanted?</w:t>
      </w:r>
    </w:p>
    <w:p w:rsidR="00823A85" w:rsidRDefault="00823A85" w:rsidP="00823A85">
      <w:r w:rsidRPr="00823A85">
        <w:t>Our goa</w:t>
      </w:r>
      <w:r>
        <w:t>l was discussed and would be mod</w:t>
      </w:r>
      <w:r w:rsidRPr="00823A85">
        <w:t>if</w:t>
      </w:r>
      <w:r>
        <w:t>i</w:t>
      </w:r>
      <w:r w:rsidRPr="00823A85">
        <w:t>ed in light of the details of the track's application. If the application was refused or permitted with conditions, we would be reliant on CDC enforcement should there be any breach. Individuals, or the PC, could also take legal action</w:t>
      </w:r>
      <w:r w:rsidR="006C332A">
        <w:t>.</w:t>
      </w:r>
    </w:p>
    <w:p w:rsidR="00823A85" w:rsidRPr="00823A85" w:rsidRDefault="00823A85" w:rsidP="009C3A3C">
      <w:pPr>
        <w:rPr>
          <w:b/>
          <w:i/>
        </w:rPr>
      </w:pPr>
      <w:r w:rsidRPr="00823A85">
        <w:rPr>
          <w:b/>
          <w:i/>
        </w:rPr>
        <w:t>At what stage would the villagers or the PC have a chance to comment on the planning conditions?</w:t>
      </w:r>
    </w:p>
    <w:p w:rsidR="00823A85" w:rsidRPr="00823A85" w:rsidRDefault="00823A85" w:rsidP="00823A85">
      <w:r w:rsidRPr="00823A85">
        <w:t>The planning consultant was instructed by the PC to pull together objections bas</w:t>
      </w:r>
      <w:r w:rsidR="002D59FE">
        <w:t xml:space="preserve">ed on the previous </w:t>
      </w:r>
      <w:r w:rsidRPr="00823A85">
        <w:t xml:space="preserve"> community and expert contributions and their planning expertise.  Incorrect statements in the track owner's and agent's su</w:t>
      </w:r>
      <w:r>
        <w:t>b</w:t>
      </w:r>
      <w:r w:rsidRPr="00823A85">
        <w:t>missions would be listed in summary.</w:t>
      </w:r>
    </w:p>
    <w:p w:rsidR="00823A85" w:rsidRPr="00823A85" w:rsidRDefault="00823A85" w:rsidP="00823A85">
      <w:r w:rsidRPr="00823A85">
        <w:t>The chairman concluded by asking all the parishioners that if they have any questions, they could drop an email: the chair would either respond or ask Mr Leay for advice.</w:t>
      </w:r>
    </w:p>
    <w:p w:rsidR="00823A85" w:rsidRPr="00823A85" w:rsidRDefault="00823A85" w:rsidP="00823A85">
      <w:r w:rsidRPr="00823A85">
        <w:t>The public participation session ended at 8.14pm and all public sign-ins logged out.</w:t>
      </w:r>
    </w:p>
    <w:p w:rsidR="00823A85" w:rsidRPr="002938F3" w:rsidRDefault="002938F3" w:rsidP="002938F3">
      <w:pPr>
        <w:rPr>
          <w:b/>
          <w:i/>
        </w:rPr>
      </w:pPr>
      <w:r>
        <w:t xml:space="preserve">Cllr. Woodcock pointed out that CDC had required no activity at the MX site until the planning application is resolved and </w:t>
      </w:r>
      <w:r w:rsidR="00823A85" w:rsidRPr="0020437A">
        <w:rPr>
          <w:color w:val="000000" w:themeColor="text1"/>
        </w:rPr>
        <w:t>to go ahead with an offer to hold a meeting with CDC to discuss nex</w:t>
      </w:r>
      <w:r w:rsidR="0020437A">
        <w:rPr>
          <w:color w:val="000000" w:themeColor="text1"/>
        </w:rPr>
        <w:t>t steps and this was</w:t>
      </w:r>
      <w:r w:rsidR="00823A85" w:rsidRPr="0020437A">
        <w:rPr>
          <w:color w:val="000000" w:themeColor="text1"/>
        </w:rPr>
        <w:t xml:space="preserve"> </w:t>
      </w:r>
      <w:r w:rsidRPr="0020437A">
        <w:rPr>
          <w:color w:val="000000" w:themeColor="text1"/>
        </w:rPr>
        <w:t xml:space="preserve">agreed. Cllr. </w:t>
      </w:r>
      <w:r w:rsidR="0020437A">
        <w:rPr>
          <w:color w:val="000000" w:themeColor="text1"/>
        </w:rPr>
        <w:t xml:space="preserve">Woodcock </w:t>
      </w:r>
      <w:r w:rsidRPr="0020437A">
        <w:rPr>
          <w:color w:val="000000" w:themeColor="text1"/>
        </w:rPr>
        <w:t>and Offord</w:t>
      </w:r>
      <w:r w:rsidR="00823A85" w:rsidRPr="0020437A">
        <w:rPr>
          <w:color w:val="000000" w:themeColor="text1"/>
        </w:rPr>
        <w:t xml:space="preserve"> would participate.</w:t>
      </w:r>
    </w:p>
    <w:p w:rsidR="0069097A" w:rsidRDefault="0069097A" w:rsidP="00037D5F">
      <w:pPr>
        <w:pStyle w:val="headingsmin"/>
        <w:numPr>
          <w:ilvl w:val="0"/>
          <w:numId w:val="0"/>
        </w:numPr>
        <w:ind w:left="709" w:hanging="360"/>
      </w:pPr>
      <w:r>
        <w:t xml:space="preserve">4.   </w:t>
      </w:r>
      <w:r w:rsidRPr="00AF60DF">
        <w:t>MINUTES AND MATTERS ARISING - to confirm the minutes of</w:t>
      </w:r>
      <w:r w:rsidR="00037D5F">
        <w:t xml:space="preserve"> the previous meeting held on 9</w:t>
      </w:r>
      <w:r w:rsidR="00A44977">
        <w:rPr>
          <w:vertAlign w:val="superscript"/>
        </w:rPr>
        <w:t xml:space="preserve"> </w:t>
      </w:r>
      <w:r w:rsidR="00037D5F">
        <w:t>NOVEMBER</w:t>
      </w:r>
      <w:r>
        <w:t xml:space="preserve"> </w:t>
      </w:r>
      <w:r w:rsidR="00037D5F">
        <w:t>2020</w:t>
      </w:r>
      <w:r w:rsidRPr="00AF60DF">
        <w:t xml:space="preserve"> </w:t>
      </w:r>
      <w:r w:rsidR="00B8227D">
        <w:t xml:space="preserve">And </w:t>
      </w:r>
      <w:r w:rsidR="00FB61D7">
        <w:t xml:space="preserve">EXTRAORDINARY </w:t>
      </w:r>
      <w:r w:rsidR="00B8227D">
        <w:t>meeting</w:t>
      </w:r>
      <w:r w:rsidR="00A44977">
        <w:t>s</w:t>
      </w:r>
      <w:r w:rsidR="00B8227D">
        <w:t xml:space="preserve"> held on </w:t>
      </w:r>
      <w:r w:rsidR="00037D5F">
        <w:t>9</w:t>
      </w:r>
      <w:r w:rsidR="00A44977">
        <w:rPr>
          <w:vertAlign w:val="superscript"/>
        </w:rPr>
        <w:t xml:space="preserve"> </w:t>
      </w:r>
      <w:r w:rsidR="00037D5F">
        <w:t>DEcember</w:t>
      </w:r>
      <w:r w:rsidR="00A44977">
        <w:t xml:space="preserve"> 2020</w:t>
      </w:r>
      <w:r w:rsidR="00037D5F">
        <w:t xml:space="preserve"> &amp;</w:t>
      </w:r>
      <w:r w:rsidR="00B8227D">
        <w:t>18</w:t>
      </w:r>
      <w:r w:rsidR="00A44977">
        <w:rPr>
          <w:vertAlign w:val="superscript"/>
        </w:rPr>
        <w:t xml:space="preserve"> </w:t>
      </w:r>
      <w:r w:rsidR="00037D5F">
        <w:t>JANUARY 2021</w:t>
      </w:r>
      <w:r w:rsidR="00B8227D">
        <w:t xml:space="preserve"> </w:t>
      </w:r>
      <w:r w:rsidRPr="00AF60DF">
        <w:t>and any matters arising from those minutes.</w:t>
      </w:r>
    </w:p>
    <w:p w:rsidR="0013198D" w:rsidRDefault="0013198D" w:rsidP="00037D5F">
      <w:pPr>
        <w:pStyle w:val="headingsmin"/>
        <w:numPr>
          <w:ilvl w:val="0"/>
          <w:numId w:val="0"/>
        </w:numPr>
        <w:ind w:left="709" w:hanging="360"/>
      </w:pPr>
    </w:p>
    <w:p w:rsidR="00B8227D" w:rsidRDefault="00B8227D" w:rsidP="00196FE8">
      <w:pPr>
        <w:spacing w:after="0"/>
      </w:pPr>
      <w:r>
        <w:t>4.1.</w:t>
      </w:r>
      <w:r w:rsidRPr="00B75DFC">
        <w:t xml:space="preserve">The minutes were </w:t>
      </w:r>
      <w:r w:rsidRPr="00653B13">
        <w:rPr>
          <w:b/>
        </w:rPr>
        <w:t>approved</w:t>
      </w:r>
      <w:r w:rsidRPr="00B75DFC">
        <w:t xml:space="preserve"> </w:t>
      </w:r>
      <w:r w:rsidR="004D6B61">
        <w:t xml:space="preserve">and </w:t>
      </w:r>
      <w:r w:rsidR="004D6B61">
        <w:rPr>
          <w:b/>
        </w:rPr>
        <w:t xml:space="preserve">signed </w:t>
      </w:r>
      <w:r w:rsidRPr="00B75DFC">
        <w:t>as an accurate record of the meeting</w:t>
      </w:r>
      <w:r>
        <w:t>.</w:t>
      </w:r>
    </w:p>
    <w:p w:rsidR="0069097A" w:rsidRPr="0069097A" w:rsidRDefault="0069097A" w:rsidP="0069097A">
      <w:pPr>
        <w:spacing w:after="0"/>
      </w:pPr>
      <w:r>
        <w:t>4.</w:t>
      </w:r>
      <w:r w:rsidR="00B8227D">
        <w:t>2</w:t>
      </w:r>
      <w:r w:rsidRPr="00AF60DF">
        <w:t>. Matters arising</w:t>
      </w:r>
      <w:r w:rsidRPr="00AF60DF">
        <w:rPr>
          <w:bCs/>
        </w:rPr>
        <w:t>:</w:t>
      </w:r>
    </w:p>
    <w:p w:rsidR="004D6B61" w:rsidRDefault="004D6B61" w:rsidP="004D6B61">
      <w:pPr>
        <w:spacing w:after="0"/>
        <w:ind w:left="426" w:firstLine="294"/>
        <w:contextualSpacing/>
        <w:rPr>
          <w:bCs/>
          <w:u w:val="single"/>
        </w:rPr>
      </w:pPr>
    </w:p>
    <w:p w:rsidR="004D6B61" w:rsidRPr="004D6B61" w:rsidRDefault="004D6B61" w:rsidP="004D6B61">
      <w:pPr>
        <w:spacing w:after="0"/>
        <w:ind w:left="426" w:firstLine="294"/>
        <w:contextualSpacing/>
        <w:rPr>
          <w:bCs/>
          <w:u w:val="single"/>
        </w:rPr>
      </w:pPr>
      <w:r w:rsidRPr="004D6B61">
        <w:rPr>
          <w:bCs/>
          <w:u w:val="single"/>
        </w:rPr>
        <w:t>Minutes 4.2 -16.2 Lime trees in the green –</w:t>
      </w:r>
    </w:p>
    <w:p w:rsidR="004D6B61" w:rsidRPr="004D6B61" w:rsidRDefault="004D6B61" w:rsidP="004D6B61">
      <w:pPr>
        <w:spacing w:after="0"/>
        <w:ind w:left="390" w:firstLine="330"/>
        <w:rPr>
          <w:bCs/>
        </w:rPr>
      </w:pPr>
      <w:r w:rsidRPr="004D6B61">
        <w:rPr>
          <w:bCs/>
        </w:rPr>
        <w:t>Acreman's Arboriculture carried out the lime trees pollard on 6</w:t>
      </w:r>
      <w:r w:rsidRPr="004D6B61">
        <w:rPr>
          <w:bCs/>
          <w:vertAlign w:val="superscript"/>
        </w:rPr>
        <w:t>th</w:t>
      </w:r>
      <w:r w:rsidRPr="004D6B61">
        <w:rPr>
          <w:bCs/>
        </w:rPr>
        <w:t xml:space="preserve"> January 2021.</w:t>
      </w:r>
    </w:p>
    <w:p w:rsidR="004D6B61" w:rsidRPr="004D6B61" w:rsidRDefault="004D6B61" w:rsidP="004D6B61">
      <w:pPr>
        <w:spacing w:after="0"/>
        <w:ind w:left="390"/>
        <w:rPr>
          <w:rFonts w:ascii="Calibri" w:hAnsi="Calibri" w:cs="Times New Roman"/>
        </w:rPr>
      </w:pPr>
    </w:p>
    <w:p w:rsidR="004D6B61" w:rsidRPr="004D6B61" w:rsidRDefault="004D6B61" w:rsidP="004D6B61">
      <w:pPr>
        <w:widowControl w:val="0"/>
        <w:spacing w:after="0"/>
        <w:ind w:left="0" w:firstLine="720"/>
        <w:rPr>
          <w:bCs/>
          <w:u w:val="single"/>
        </w:rPr>
      </w:pPr>
      <w:r w:rsidRPr="004D6B61">
        <w:rPr>
          <w:bCs/>
          <w:u w:val="single"/>
        </w:rPr>
        <w:lastRenderedPageBreak/>
        <w:t>Minutes 20.3. No parking on the bend outside of the chapel –</w:t>
      </w:r>
    </w:p>
    <w:p w:rsidR="004D6B61" w:rsidRPr="004D6B61" w:rsidRDefault="004D6B61" w:rsidP="004D6B61">
      <w:pPr>
        <w:widowControl w:val="0"/>
        <w:ind w:left="0"/>
        <w:rPr>
          <w:bCs/>
        </w:rPr>
      </w:pPr>
      <w:r w:rsidRPr="004D6B61">
        <w:rPr>
          <w:bCs/>
        </w:rPr>
        <w:t xml:space="preserve">       </w:t>
      </w:r>
      <w:r>
        <w:rPr>
          <w:bCs/>
        </w:rPr>
        <w:tab/>
      </w:r>
      <w:r w:rsidRPr="004D6B61">
        <w:rPr>
          <w:bCs/>
        </w:rPr>
        <w:t>Cl</w:t>
      </w:r>
      <w:r w:rsidR="00C36913">
        <w:rPr>
          <w:bCs/>
        </w:rPr>
        <w:t xml:space="preserve">lr. Overton </w:t>
      </w:r>
      <w:r w:rsidR="00544F4D">
        <w:rPr>
          <w:szCs w:val="24"/>
        </w:rPr>
        <w:t xml:space="preserve">arranged to place a “no parking” sign up on the wall by the bend outside of the chapel. </w:t>
      </w:r>
    </w:p>
    <w:p w:rsidR="002B230E" w:rsidRDefault="00421F64" w:rsidP="0015265B">
      <w:pPr>
        <w:pStyle w:val="headings"/>
        <w:numPr>
          <w:ilvl w:val="0"/>
          <w:numId w:val="3"/>
        </w:numPr>
        <w:spacing w:before="240"/>
        <w:ind w:left="709"/>
      </w:pPr>
      <w:r w:rsidRPr="00AF60DF">
        <w:t xml:space="preserve">Finance Report </w:t>
      </w:r>
    </w:p>
    <w:p w:rsidR="00196FE8" w:rsidRPr="00196FE8" w:rsidRDefault="00196FE8" w:rsidP="00196FE8">
      <w:pPr>
        <w:pStyle w:val="headings"/>
        <w:numPr>
          <w:ilvl w:val="0"/>
          <w:numId w:val="0"/>
        </w:numPr>
        <w:ind w:left="709"/>
      </w:pPr>
    </w:p>
    <w:p w:rsidR="004D6B61" w:rsidRDefault="008B23BB" w:rsidP="001217BA">
      <w:pPr>
        <w:ind w:left="0" w:firstLine="709"/>
        <w:rPr>
          <w:bCs/>
        </w:rPr>
      </w:pPr>
      <w:r w:rsidRPr="008B23BB">
        <w:rPr>
          <w:bCs/>
        </w:rPr>
        <w:t>5.1.</w:t>
      </w:r>
      <w:r>
        <w:rPr>
          <w:b/>
          <w:bCs/>
        </w:rPr>
        <w:t xml:space="preserve"> </w:t>
      </w:r>
      <w:r>
        <w:rPr>
          <w:bCs/>
        </w:rPr>
        <w:t>T</w:t>
      </w:r>
      <w:r w:rsidRPr="008B23BB">
        <w:rPr>
          <w:bCs/>
        </w:rPr>
        <w:t>he following payment</w:t>
      </w:r>
      <w:r>
        <w:rPr>
          <w:bCs/>
        </w:rPr>
        <w:t xml:space="preserve"> was </w:t>
      </w:r>
      <w:r>
        <w:rPr>
          <w:b/>
          <w:bCs/>
        </w:rPr>
        <w:t>approved</w:t>
      </w:r>
      <w:r>
        <w:rPr>
          <w:bCs/>
        </w:rPr>
        <w:t>.</w:t>
      </w:r>
    </w:p>
    <w:tbl>
      <w:tblPr>
        <w:tblStyle w:val="TableGrid"/>
        <w:tblW w:w="9322" w:type="dxa"/>
        <w:tblInd w:w="623" w:type="dxa"/>
        <w:tblLook w:val="04A0"/>
      </w:tblPr>
      <w:tblGrid>
        <w:gridCol w:w="6431"/>
        <w:gridCol w:w="1048"/>
        <w:gridCol w:w="1843"/>
      </w:tblGrid>
      <w:tr w:rsidR="009C6D9F" w:rsidRPr="009C6D9F" w:rsidTr="00823A85">
        <w:tc>
          <w:tcPr>
            <w:tcW w:w="6431" w:type="dxa"/>
            <w:vAlign w:val="bottom"/>
          </w:tcPr>
          <w:p w:rsidR="009C6D9F" w:rsidRPr="009C6D9F" w:rsidRDefault="009C6D9F" w:rsidP="009C6D9F">
            <w:pPr>
              <w:spacing w:before="100" w:beforeAutospacing="1" w:after="100" w:afterAutospacing="1" w:line="240"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b/>
                <w:bCs/>
                <w:sz w:val="24"/>
                <w:szCs w:val="24"/>
                <w:lang w:eastAsia="en-GB"/>
              </w:rPr>
              <w:t>Details</w:t>
            </w:r>
          </w:p>
        </w:tc>
        <w:tc>
          <w:tcPr>
            <w:tcW w:w="1048" w:type="dxa"/>
            <w:vAlign w:val="bottom"/>
          </w:tcPr>
          <w:p w:rsidR="009C6D9F" w:rsidRPr="009C6D9F" w:rsidRDefault="009C6D9F" w:rsidP="009C6D9F">
            <w:pPr>
              <w:spacing w:before="100" w:beforeAutospacing="1" w:after="100" w:afterAutospacing="1" w:line="240"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b/>
                <w:bCs/>
                <w:sz w:val="24"/>
                <w:szCs w:val="24"/>
                <w:lang w:eastAsia="en-GB"/>
              </w:rPr>
              <w:t>Account</w:t>
            </w:r>
          </w:p>
        </w:tc>
        <w:tc>
          <w:tcPr>
            <w:tcW w:w="1843" w:type="dxa"/>
            <w:vAlign w:val="bottom"/>
          </w:tcPr>
          <w:p w:rsidR="009C6D9F" w:rsidRPr="009C6D9F" w:rsidRDefault="009C6D9F" w:rsidP="009C6D9F">
            <w:pPr>
              <w:spacing w:before="100" w:beforeAutospacing="1" w:after="100" w:afterAutospacing="1" w:line="240"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b/>
                <w:bCs/>
                <w:sz w:val="24"/>
                <w:szCs w:val="24"/>
                <w:lang w:eastAsia="en-GB"/>
              </w:rPr>
              <w:t xml:space="preserve">Payment </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Calibri" w:eastAsia="Times New Roman" w:hAnsi="Calibri" w:cs="Calibri"/>
                <w:sz w:val="24"/>
                <w:szCs w:val="24"/>
                <w:lang w:eastAsia="en-GB"/>
              </w:rPr>
            </w:pPr>
            <w:r w:rsidRPr="009C6D9F">
              <w:rPr>
                <w:rFonts w:ascii="Calibri" w:eastAsia="Times New Roman" w:hAnsi="Calibri" w:cs="Calibri"/>
                <w:sz w:val="24"/>
                <w:szCs w:val="24"/>
                <w:lang w:eastAsia="en-GB"/>
              </w:rPr>
              <w:t>Information Commissioner’s Office (ICO)</w:t>
            </w:r>
          </w:p>
        </w:tc>
        <w:tc>
          <w:tcPr>
            <w:tcW w:w="1048" w:type="dxa"/>
            <w:vAlign w:val="bottom"/>
          </w:tcPr>
          <w:p w:rsidR="009C6D9F" w:rsidRPr="009C6D9F" w:rsidRDefault="009C6D9F" w:rsidP="009C6D9F">
            <w:pPr>
              <w:spacing w:before="100" w:beforeAutospacing="1" w:after="100" w:afterAutospacing="1" w:line="276" w:lineRule="auto"/>
              <w:ind w:left="0"/>
              <w:rPr>
                <w:rFonts w:ascii="Calibri" w:eastAsia="Times New Roman" w:hAnsi="Calibri" w:cs="Calibri"/>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Calibri" w:eastAsia="Times New Roman" w:hAnsi="Calibri" w:cs="Calibri"/>
                <w:sz w:val="24"/>
                <w:szCs w:val="24"/>
                <w:lang w:eastAsia="en-GB"/>
              </w:rPr>
            </w:pPr>
            <w:r w:rsidRPr="009C6D9F">
              <w:rPr>
                <w:rFonts w:ascii="Calibri" w:eastAsia="Times New Roman" w:hAnsi="Calibri" w:cs="Calibri"/>
                <w:sz w:val="24"/>
                <w:szCs w:val="24"/>
                <w:lang w:eastAsia="en-GB"/>
              </w:rPr>
              <w:t>£35                 DD</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Repay C. Koberl Zoom Pro online meeting subscription</w:t>
            </w:r>
            <w:r w:rsidRPr="009C6D9F">
              <w:rPr>
                <w:rFonts w:ascii="Calibri" w:eastAsia="Times New Roman" w:hAnsi="Calibri" w:cs="Calibri"/>
                <w:color w:val="1F497D"/>
                <w:sz w:val="24"/>
                <w:szCs w:val="24"/>
                <w:lang w:eastAsia="en-GB"/>
              </w:rPr>
              <w:t xml:space="preserve"> </w:t>
            </w:r>
            <w:r w:rsidRPr="009C6D9F">
              <w:rPr>
                <w:rFonts w:ascii="Calibri" w:eastAsia="Times New Roman" w:hAnsi="Calibri" w:cs="Calibri"/>
                <w:color w:val="FF0000"/>
                <w:sz w:val="24"/>
                <w:szCs w:val="24"/>
                <w:lang w:eastAsia="en-GB"/>
              </w:rPr>
              <w:t> </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xml:space="preserve">£ 14.39 </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Abbot Fire Pavilion Certificate/inspection</w:t>
            </w:r>
            <w:r w:rsidRPr="009C6D9F">
              <w:rPr>
                <w:rFonts w:ascii="Calibri" w:eastAsia="Times New Roman" w:hAnsi="Calibri" w:cs="Calibri"/>
                <w:color w:val="1F497D"/>
                <w:sz w:val="24"/>
                <w:szCs w:val="24"/>
                <w:lang w:eastAsia="en-GB"/>
              </w:rPr>
              <w:t xml:space="preserve"> </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Pavilion</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xml:space="preserve">£154.88 </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Repay F. Donaldson Arnold-Baker on Local Council Administration 12th ed.</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£149.99</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Castle Water</w:t>
            </w:r>
            <w:r w:rsidRPr="009C6D9F">
              <w:rPr>
                <w:rFonts w:ascii="Calibri" w:eastAsia="Times New Roman" w:hAnsi="Calibri" w:cs="Calibri"/>
                <w:color w:val="1F497D"/>
                <w:sz w:val="24"/>
                <w:szCs w:val="24"/>
                <w:lang w:eastAsia="en-GB"/>
              </w:rPr>
              <w:t xml:space="preserve"> </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Pavilion</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£ 7.94            DD</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BT</w:t>
            </w:r>
            <w:r w:rsidRPr="009C6D9F">
              <w:rPr>
                <w:rFonts w:ascii="Calibri" w:eastAsia="Times New Roman" w:hAnsi="Calibri" w:cs="Calibri"/>
                <w:color w:val="1F497D"/>
                <w:sz w:val="24"/>
                <w:szCs w:val="24"/>
                <w:lang w:eastAsia="en-GB"/>
              </w:rPr>
              <w:t xml:space="preserve"> </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Pavilion</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£ 35.99          DD</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ight="-25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C. Koberl Allowance (01/02/21-10/02/21)</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xml:space="preserve">£ 3.21 </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C. Koberl Salary (01/02/21-10/02/21)</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£148.32</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F. Donaldson Allowance</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£ 6.00            SO</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F. Donaldson Salary</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xml:space="preserve">£214.44         SO             </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L. Wilkinson Allowance</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£ 4.00            SO</w:t>
            </w:r>
          </w:p>
        </w:tc>
      </w:tr>
      <w:tr w:rsidR="009C6D9F" w:rsidRPr="009C6D9F" w:rsidTr="00823A85">
        <w:tc>
          <w:tcPr>
            <w:tcW w:w="6431"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L. Wilkinson Salary</w:t>
            </w:r>
          </w:p>
        </w:tc>
        <w:tc>
          <w:tcPr>
            <w:tcW w:w="1048" w:type="dxa"/>
            <w:vAlign w:val="bottom"/>
          </w:tcPr>
          <w:p w:rsidR="009C6D9F" w:rsidRPr="009C6D9F" w:rsidRDefault="009C6D9F" w:rsidP="009C6D9F">
            <w:pPr>
              <w:spacing w:before="100" w:beforeAutospacing="1" w:after="100" w:afterAutospacing="1" w:line="276" w:lineRule="auto"/>
              <w:ind w:left="0"/>
              <w:rPr>
                <w:rFonts w:ascii="Times New Roman" w:eastAsia="Times New Roman" w:hAnsi="Times New Roman" w:cs="Times New Roman"/>
                <w:sz w:val="24"/>
                <w:szCs w:val="24"/>
                <w:lang w:eastAsia="en-GB"/>
              </w:rPr>
            </w:pPr>
            <w:r w:rsidRPr="009C6D9F">
              <w:rPr>
                <w:rFonts w:ascii="Calibri" w:eastAsia="Times New Roman" w:hAnsi="Calibri" w:cs="Calibri"/>
                <w:sz w:val="24"/>
                <w:szCs w:val="24"/>
                <w:lang w:eastAsia="en-GB"/>
              </w:rPr>
              <w:t>PC</w:t>
            </w:r>
          </w:p>
        </w:tc>
        <w:tc>
          <w:tcPr>
            <w:tcW w:w="1843" w:type="dxa"/>
            <w:vAlign w:val="bottom"/>
          </w:tcPr>
          <w:p w:rsidR="009C6D9F" w:rsidRPr="009C6D9F" w:rsidRDefault="009C6D9F" w:rsidP="009C6D9F">
            <w:pPr>
              <w:spacing w:before="100" w:beforeAutospacing="1" w:after="100" w:afterAutospacing="1" w:line="276" w:lineRule="auto"/>
              <w:ind w:left="0"/>
              <w:rPr>
                <w:rFonts w:ascii="Calibri" w:eastAsia="Times New Roman" w:hAnsi="Calibri" w:cs="Calibri"/>
                <w:sz w:val="24"/>
                <w:szCs w:val="24"/>
                <w:lang w:eastAsia="en-GB"/>
              </w:rPr>
            </w:pPr>
            <w:r w:rsidRPr="009C6D9F">
              <w:rPr>
                <w:rFonts w:ascii="Calibri" w:eastAsia="Times New Roman" w:hAnsi="Calibri" w:cs="Calibri"/>
                <w:sz w:val="24"/>
                <w:szCs w:val="24"/>
                <w:lang w:eastAsia="en-GB"/>
              </w:rPr>
              <w:t>£ 128.68        SO</w:t>
            </w:r>
          </w:p>
        </w:tc>
      </w:tr>
    </w:tbl>
    <w:p w:rsidR="001217BA" w:rsidRDefault="001217BA" w:rsidP="001217BA">
      <w:pPr>
        <w:ind w:left="0" w:firstLine="709"/>
        <w:rPr>
          <w:bCs/>
        </w:rPr>
      </w:pPr>
    </w:p>
    <w:p w:rsidR="00114641" w:rsidRDefault="00114641" w:rsidP="00114641">
      <w:pPr>
        <w:ind w:left="709"/>
        <w:rPr>
          <w:bCs/>
        </w:rPr>
      </w:pPr>
      <w:r>
        <w:rPr>
          <w:bCs/>
        </w:rPr>
        <w:t xml:space="preserve">The </w:t>
      </w:r>
      <w:r w:rsidR="001E0F61">
        <w:rPr>
          <w:bCs/>
        </w:rPr>
        <w:t xml:space="preserve">council </w:t>
      </w:r>
      <w:r w:rsidR="001E0F61" w:rsidRPr="00B70F9D">
        <w:rPr>
          <w:b/>
          <w:bCs/>
        </w:rPr>
        <w:t>authorised</w:t>
      </w:r>
      <w:r w:rsidR="001E0F61">
        <w:rPr>
          <w:bCs/>
        </w:rPr>
        <w:t xml:space="preserve"> to set up direct </w:t>
      </w:r>
      <w:r w:rsidR="00B70F9D">
        <w:rPr>
          <w:bCs/>
        </w:rPr>
        <w:t>debit to</w:t>
      </w:r>
      <w:r w:rsidR="001E0F61">
        <w:rPr>
          <w:bCs/>
        </w:rPr>
        <w:t xml:space="preserve"> </w:t>
      </w:r>
      <w:r w:rsidR="00B70F9D">
        <w:rPr>
          <w:bCs/>
        </w:rPr>
        <w:t>register with ICO.</w:t>
      </w:r>
    </w:p>
    <w:p w:rsidR="008B23BB" w:rsidRDefault="008B23BB" w:rsidP="00196FE8">
      <w:pPr>
        <w:ind w:left="0" w:firstLine="720"/>
        <w:rPr>
          <w:b/>
          <w:bCs/>
        </w:rPr>
      </w:pPr>
      <w:r w:rsidRPr="008B23BB">
        <w:rPr>
          <w:bCs/>
        </w:rPr>
        <w:t>5.2. Payments made since the last meeting:</w:t>
      </w:r>
      <w:r w:rsidRPr="002C7C90">
        <w:rPr>
          <w:b/>
          <w:bCs/>
        </w:rPr>
        <w:tab/>
      </w:r>
    </w:p>
    <w:tbl>
      <w:tblPr>
        <w:tblW w:w="10102" w:type="dxa"/>
        <w:tblInd w:w="465" w:type="dxa"/>
        <w:tblLook w:val="04A0"/>
      </w:tblPr>
      <w:tblGrid>
        <w:gridCol w:w="1278"/>
        <w:gridCol w:w="5564"/>
        <w:gridCol w:w="992"/>
        <w:gridCol w:w="965"/>
        <w:gridCol w:w="1303"/>
      </w:tblGrid>
      <w:tr w:rsidR="00B70F9D" w:rsidRPr="00B70F9D" w:rsidTr="00B70F9D">
        <w:trPr>
          <w:trHeight w:val="300"/>
        </w:trPr>
        <w:tc>
          <w:tcPr>
            <w:tcW w:w="1278" w:type="dxa"/>
            <w:tcBorders>
              <w:top w:val="single" w:sz="4" w:space="0" w:color="auto"/>
              <w:left w:val="single" w:sz="4" w:space="0" w:color="auto"/>
              <w:bottom w:val="single" w:sz="4" w:space="0" w:color="4F81BD"/>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b/>
                <w:bCs/>
                <w:color w:val="376091"/>
                <w:lang w:eastAsia="en-GB"/>
              </w:rPr>
            </w:pPr>
            <w:r w:rsidRPr="00B70F9D">
              <w:rPr>
                <w:rFonts w:ascii="Calibri" w:eastAsia="Times New Roman" w:hAnsi="Calibri" w:cs="Calibri"/>
                <w:b/>
                <w:bCs/>
                <w:color w:val="376091"/>
                <w:lang w:eastAsia="en-GB"/>
              </w:rPr>
              <w:t>Date</w:t>
            </w:r>
          </w:p>
        </w:tc>
        <w:tc>
          <w:tcPr>
            <w:tcW w:w="5564" w:type="dxa"/>
            <w:tcBorders>
              <w:top w:val="single" w:sz="4" w:space="0" w:color="auto"/>
              <w:left w:val="nil"/>
              <w:bottom w:val="single" w:sz="4" w:space="0" w:color="4F81BD"/>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b/>
                <w:bCs/>
                <w:color w:val="376091"/>
                <w:lang w:eastAsia="en-GB"/>
              </w:rPr>
            </w:pPr>
            <w:r w:rsidRPr="00B70F9D">
              <w:rPr>
                <w:rFonts w:ascii="Calibri" w:eastAsia="Times New Roman" w:hAnsi="Calibri" w:cs="Calibri"/>
                <w:b/>
                <w:bCs/>
                <w:color w:val="376091"/>
                <w:lang w:eastAsia="en-GB"/>
              </w:rPr>
              <w:t>Details</w:t>
            </w:r>
          </w:p>
        </w:tc>
        <w:tc>
          <w:tcPr>
            <w:tcW w:w="992" w:type="dxa"/>
            <w:tcBorders>
              <w:top w:val="single" w:sz="4" w:space="0" w:color="auto"/>
              <w:left w:val="nil"/>
              <w:bottom w:val="single" w:sz="4" w:space="0" w:color="4F81BD"/>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b/>
                <w:bCs/>
                <w:color w:val="376091"/>
                <w:lang w:eastAsia="en-GB"/>
              </w:rPr>
            </w:pPr>
            <w:r w:rsidRPr="00B70F9D">
              <w:rPr>
                <w:rFonts w:ascii="Calibri" w:eastAsia="Times New Roman" w:hAnsi="Calibri" w:cs="Calibri"/>
                <w:b/>
                <w:bCs/>
                <w:color w:val="376091"/>
                <w:lang w:eastAsia="en-GB"/>
              </w:rPr>
              <w:t>Method</w:t>
            </w:r>
          </w:p>
        </w:tc>
        <w:tc>
          <w:tcPr>
            <w:tcW w:w="965" w:type="dxa"/>
            <w:tcBorders>
              <w:top w:val="single" w:sz="4" w:space="0" w:color="auto"/>
              <w:left w:val="nil"/>
              <w:bottom w:val="single" w:sz="4" w:space="0" w:color="4F81BD"/>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b/>
                <w:bCs/>
                <w:color w:val="376091"/>
                <w:lang w:eastAsia="en-GB"/>
              </w:rPr>
            </w:pPr>
            <w:r w:rsidRPr="00B70F9D">
              <w:rPr>
                <w:rFonts w:ascii="Calibri" w:eastAsia="Times New Roman" w:hAnsi="Calibri" w:cs="Calibri"/>
                <w:b/>
                <w:bCs/>
                <w:color w:val="376091"/>
                <w:lang w:eastAsia="en-GB"/>
              </w:rPr>
              <w:t>Account</w:t>
            </w:r>
          </w:p>
        </w:tc>
        <w:tc>
          <w:tcPr>
            <w:tcW w:w="1303" w:type="dxa"/>
            <w:tcBorders>
              <w:top w:val="single" w:sz="4" w:space="0" w:color="auto"/>
              <w:left w:val="nil"/>
              <w:bottom w:val="single" w:sz="4" w:space="0" w:color="4F81BD"/>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b/>
                <w:bCs/>
                <w:color w:val="376091"/>
                <w:lang w:eastAsia="en-GB"/>
              </w:rPr>
            </w:pPr>
            <w:r w:rsidRPr="00B70F9D">
              <w:rPr>
                <w:rFonts w:ascii="Calibri" w:eastAsia="Times New Roman" w:hAnsi="Calibri" w:cs="Calibri"/>
                <w:b/>
                <w:bCs/>
                <w:color w:val="376091"/>
                <w:lang w:eastAsia="en-GB"/>
              </w:rPr>
              <w:t xml:space="preserve"> Payment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05/11/2020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Castle Water</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7.94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09/11/2020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BT</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37.01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Zoom Pro online meeting subscription</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14.39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proofErr w:type="spellStart"/>
            <w:r w:rsidRPr="00B70F9D">
              <w:rPr>
                <w:rFonts w:ascii="Calibri" w:eastAsia="Times New Roman" w:hAnsi="Calibri" w:cs="Calibri"/>
                <w:color w:val="376091"/>
                <w:lang w:eastAsia="en-GB"/>
              </w:rPr>
              <w:t>Microrenewable</w:t>
            </w:r>
            <w:proofErr w:type="spellEnd"/>
            <w:r w:rsidRPr="00B70F9D">
              <w:rPr>
                <w:rFonts w:ascii="Calibri" w:eastAsia="Times New Roman" w:hAnsi="Calibri" w:cs="Calibri"/>
                <w:color w:val="376091"/>
                <w:lang w:eastAsia="en-GB"/>
              </w:rPr>
              <w:t xml:space="preserve"> Solution Ltd. Pavilion Heating Pump Repair</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1,972.05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OALC </w:t>
            </w:r>
            <w:proofErr w:type="spellStart"/>
            <w:r w:rsidRPr="00B70F9D">
              <w:rPr>
                <w:rFonts w:ascii="Calibri" w:eastAsia="Times New Roman" w:hAnsi="Calibri" w:cs="Calibri"/>
                <w:color w:val="376091"/>
                <w:lang w:eastAsia="en-GB"/>
              </w:rPr>
              <w:t>CiLCA</w:t>
            </w:r>
            <w:proofErr w:type="spellEnd"/>
            <w:r w:rsidRPr="00B70F9D">
              <w:rPr>
                <w:rFonts w:ascii="Calibri" w:eastAsia="Times New Roman" w:hAnsi="Calibri" w:cs="Calibri"/>
                <w:color w:val="376091"/>
                <w:lang w:eastAsia="en-GB"/>
              </w:rPr>
              <w:t xml:space="preserve"> Mentoring Sessions</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275.00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OALC Planning training </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120.00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J. Silva Pavilion Window inv. 195</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75.00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Moore External Audit 2019/20 </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360.00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30/11/2020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Allowance</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9.00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30/11/2020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Salary</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309.00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30/11/2020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SSE Southern Electric (End of contract Final Bill)</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67.38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07/12/2020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Castle Water</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7.94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09/12/2020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BT</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35.99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12/12/2020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 Burden Allotment minutes of meeting 09.11.20 item 15</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20.00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22/12/2020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w:t>
            </w:r>
            <w:r>
              <w:rPr>
                <w:rFonts w:ascii="Calibri" w:eastAsia="Times New Roman" w:hAnsi="Calibri" w:cs="Calibri"/>
                <w:color w:val="376091"/>
                <w:lang w:eastAsia="en-GB"/>
              </w:rPr>
              <w:t>l</w:t>
            </w:r>
            <w:r w:rsidRPr="00B70F9D">
              <w:rPr>
                <w:rFonts w:ascii="Calibri" w:eastAsia="Times New Roman" w:hAnsi="Calibri" w:cs="Calibri"/>
                <w:color w:val="376091"/>
                <w:lang w:eastAsia="en-GB"/>
              </w:rPr>
              <w:t xml:space="preserve"> Payroll Nov Adjustment</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69.33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29/12/2020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Allowance</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9.00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29/12/2020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Salary</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412.00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lastRenderedPageBreak/>
              <w:t>30/12/2020</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J. Silva Pavilion Window inv. 209</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25.00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05/01/2021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Castle Water</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7.94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05/01/2021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BT</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35.99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06/01/2021</w:t>
            </w:r>
          </w:p>
        </w:tc>
        <w:tc>
          <w:tcPr>
            <w:tcW w:w="6556" w:type="dxa"/>
            <w:gridSpan w:val="2"/>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J. Offord Claranet internet host annual subscription</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300.00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11/01/2021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SSE Southern Electric</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DD</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Pavilion</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338.22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21/01/2021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Shakespeare </w:t>
            </w:r>
            <w:proofErr w:type="spellStart"/>
            <w:r w:rsidRPr="00B70F9D">
              <w:rPr>
                <w:rFonts w:ascii="Calibri" w:eastAsia="Times New Roman" w:hAnsi="Calibri" w:cs="Calibri"/>
                <w:color w:val="376091"/>
                <w:lang w:eastAsia="en-GB"/>
              </w:rPr>
              <w:t>Martineux</w:t>
            </w:r>
            <w:proofErr w:type="spellEnd"/>
            <w:r w:rsidRPr="00B70F9D">
              <w:rPr>
                <w:rFonts w:ascii="Calibri" w:eastAsia="Times New Roman" w:hAnsi="Calibri" w:cs="Calibri"/>
                <w:color w:val="376091"/>
                <w:lang w:eastAsia="en-GB"/>
              </w:rPr>
              <w:t xml:space="preserve"> LLP  (item 5 minutes of 18.01.21)</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MX</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3,589.80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25/01/2021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B. </w:t>
            </w:r>
            <w:proofErr w:type="spellStart"/>
            <w:r w:rsidRPr="00B70F9D">
              <w:rPr>
                <w:rFonts w:ascii="Calibri" w:eastAsia="Times New Roman" w:hAnsi="Calibri" w:cs="Calibri"/>
                <w:color w:val="376091"/>
                <w:lang w:eastAsia="en-GB"/>
              </w:rPr>
              <w:t>Acreman</w:t>
            </w:r>
            <w:proofErr w:type="spellEnd"/>
            <w:r w:rsidRPr="00B70F9D">
              <w:rPr>
                <w:rFonts w:ascii="Calibri" w:eastAsia="Times New Roman" w:hAnsi="Calibri" w:cs="Calibri"/>
                <w:color w:val="376091"/>
                <w:lang w:eastAsia="en-GB"/>
              </w:rPr>
              <w:t xml:space="preserve"> Village Green Lime trees pollard </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1,670.00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26/01/2021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Archer Signs &amp; Panels Ltd no parking sign</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52.98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26/01/2021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OALC F. Donaldson training course 23.02.21</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Online</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60.00 </w:t>
            </w:r>
          </w:p>
        </w:tc>
      </w:tr>
      <w:tr w:rsidR="00B70F9D" w:rsidRPr="00B70F9D" w:rsidTr="00B70F9D">
        <w:trPr>
          <w:trHeight w:val="300"/>
        </w:trPr>
        <w:tc>
          <w:tcPr>
            <w:tcW w:w="1278" w:type="dxa"/>
            <w:tcBorders>
              <w:top w:val="nil"/>
              <w:left w:val="single" w:sz="4" w:space="0" w:color="auto"/>
              <w:bottom w:val="nil"/>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28/01/2021</w:t>
            </w:r>
          </w:p>
        </w:tc>
        <w:tc>
          <w:tcPr>
            <w:tcW w:w="5564"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Allowance</w:t>
            </w:r>
          </w:p>
        </w:tc>
        <w:tc>
          <w:tcPr>
            <w:tcW w:w="992"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nil"/>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nil"/>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9.00 </w:t>
            </w:r>
          </w:p>
        </w:tc>
      </w:tr>
      <w:tr w:rsidR="00B70F9D" w:rsidRPr="00B70F9D" w:rsidTr="00B70F9D">
        <w:trPr>
          <w:trHeight w:val="300"/>
        </w:trPr>
        <w:tc>
          <w:tcPr>
            <w:tcW w:w="1278" w:type="dxa"/>
            <w:tcBorders>
              <w:top w:val="nil"/>
              <w:left w:val="single" w:sz="4" w:space="0" w:color="auto"/>
              <w:bottom w:val="single" w:sz="4" w:space="0" w:color="auto"/>
              <w:right w:val="nil"/>
            </w:tcBorders>
            <w:shd w:val="clear" w:color="auto" w:fill="auto"/>
            <w:noWrap/>
            <w:vAlign w:val="bottom"/>
            <w:hideMark/>
          </w:tcPr>
          <w:p w:rsidR="00B70F9D" w:rsidRPr="00B70F9D" w:rsidRDefault="00B70F9D" w:rsidP="00B70F9D">
            <w:pPr>
              <w:spacing w:after="0" w:line="240" w:lineRule="auto"/>
              <w:ind w:left="0"/>
              <w:jc w:val="right"/>
              <w:rPr>
                <w:rFonts w:ascii="Calibri" w:eastAsia="Times New Roman" w:hAnsi="Calibri" w:cs="Calibri"/>
                <w:color w:val="376091"/>
                <w:lang w:eastAsia="en-GB"/>
              </w:rPr>
            </w:pPr>
            <w:r w:rsidRPr="00B70F9D">
              <w:rPr>
                <w:rFonts w:ascii="Calibri" w:eastAsia="Times New Roman" w:hAnsi="Calibri" w:cs="Calibri"/>
                <w:color w:val="376091"/>
                <w:lang w:eastAsia="en-GB"/>
              </w:rPr>
              <w:t>29/01/2021</w:t>
            </w:r>
          </w:p>
        </w:tc>
        <w:tc>
          <w:tcPr>
            <w:tcW w:w="5564" w:type="dxa"/>
            <w:tcBorders>
              <w:top w:val="nil"/>
              <w:left w:val="nil"/>
              <w:bottom w:val="single" w:sz="4" w:space="0" w:color="auto"/>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C. Koberl Salary</w:t>
            </w:r>
          </w:p>
        </w:tc>
        <w:tc>
          <w:tcPr>
            <w:tcW w:w="992" w:type="dxa"/>
            <w:tcBorders>
              <w:top w:val="nil"/>
              <w:left w:val="nil"/>
              <w:bottom w:val="single" w:sz="4" w:space="0" w:color="auto"/>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SO </w:t>
            </w:r>
          </w:p>
        </w:tc>
        <w:tc>
          <w:tcPr>
            <w:tcW w:w="965" w:type="dxa"/>
            <w:tcBorders>
              <w:top w:val="nil"/>
              <w:left w:val="nil"/>
              <w:bottom w:val="single" w:sz="4" w:space="0" w:color="auto"/>
              <w:right w:val="nil"/>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PC</w:t>
            </w:r>
          </w:p>
        </w:tc>
        <w:tc>
          <w:tcPr>
            <w:tcW w:w="1303" w:type="dxa"/>
            <w:tcBorders>
              <w:top w:val="nil"/>
              <w:left w:val="nil"/>
              <w:bottom w:val="single" w:sz="4" w:space="0" w:color="auto"/>
              <w:right w:val="single" w:sz="4" w:space="0" w:color="auto"/>
            </w:tcBorders>
            <w:shd w:val="clear" w:color="auto" w:fill="auto"/>
            <w:noWrap/>
            <w:vAlign w:val="bottom"/>
            <w:hideMark/>
          </w:tcPr>
          <w:p w:rsidR="00B70F9D" w:rsidRPr="00B70F9D" w:rsidRDefault="00B70F9D" w:rsidP="00B70F9D">
            <w:pPr>
              <w:spacing w:after="0" w:line="240" w:lineRule="auto"/>
              <w:ind w:left="0"/>
              <w:rPr>
                <w:rFonts w:ascii="Calibri" w:eastAsia="Times New Roman" w:hAnsi="Calibri" w:cs="Calibri"/>
                <w:color w:val="376091"/>
                <w:lang w:eastAsia="en-GB"/>
              </w:rPr>
            </w:pPr>
            <w:r w:rsidRPr="00B70F9D">
              <w:rPr>
                <w:rFonts w:ascii="Calibri" w:eastAsia="Times New Roman" w:hAnsi="Calibri" w:cs="Calibri"/>
                <w:color w:val="376091"/>
                <w:lang w:eastAsia="en-GB"/>
              </w:rPr>
              <w:t xml:space="preserve"> £     412.00 </w:t>
            </w:r>
          </w:p>
        </w:tc>
      </w:tr>
    </w:tbl>
    <w:p w:rsidR="008B23BB" w:rsidRPr="002B230E" w:rsidRDefault="008B23BB" w:rsidP="008B23BB">
      <w:pPr>
        <w:spacing w:after="0"/>
        <w:rPr>
          <w:bCs/>
        </w:rPr>
      </w:pPr>
    </w:p>
    <w:p w:rsidR="002B230E" w:rsidRPr="002B230E" w:rsidRDefault="002B230E" w:rsidP="002B230E">
      <w:pPr>
        <w:rPr>
          <w:bCs/>
        </w:rPr>
      </w:pPr>
      <w:r w:rsidRPr="002B230E">
        <w:rPr>
          <w:bCs/>
        </w:rPr>
        <w:t>5.3.</w:t>
      </w:r>
      <w:r w:rsidRPr="002B230E">
        <w:rPr>
          <w:bCs/>
        </w:rPr>
        <w:tab/>
        <w:t>Bank balances as of 2</w:t>
      </w:r>
      <w:r w:rsidR="00B70F9D">
        <w:rPr>
          <w:bCs/>
        </w:rPr>
        <w:t>9</w:t>
      </w:r>
      <w:r w:rsidR="00B70F9D">
        <w:rPr>
          <w:bCs/>
          <w:vertAlign w:val="superscript"/>
        </w:rPr>
        <w:t>th</w:t>
      </w:r>
      <w:r w:rsidR="00B70F9D">
        <w:rPr>
          <w:bCs/>
        </w:rPr>
        <w:t xml:space="preserve"> January 2021</w:t>
      </w:r>
    </w:p>
    <w:p w:rsidR="002B230E" w:rsidRPr="003B4F4B" w:rsidRDefault="002B230E" w:rsidP="002B230E">
      <w:pPr>
        <w:spacing w:after="240"/>
        <w:rPr>
          <w:szCs w:val="24"/>
          <w:u w:val="single"/>
        </w:rPr>
      </w:pPr>
      <w:r w:rsidRPr="003B4F4B">
        <w:rPr>
          <w:szCs w:val="24"/>
          <w:u w:val="single"/>
        </w:rPr>
        <w:t>Bank Statements</w:t>
      </w:r>
      <w:r>
        <w:rPr>
          <w:szCs w:val="24"/>
          <w:u w:val="single"/>
        </w:rPr>
        <w:t xml:space="preserve"> </w:t>
      </w: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693"/>
      </w:tblGrid>
      <w:tr w:rsidR="00B70F9D" w:rsidRPr="003C50E6" w:rsidTr="00B70F9D">
        <w:tc>
          <w:tcPr>
            <w:tcW w:w="2279" w:type="dxa"/>
          </w:tcPr>
          <w:p w:rsidR="00B70F9D" w:rsidRDefault="00B70F9D" w:rsidP="00D8054D">
            <w:pPr>
              <w:spacing w:after="0"/>
              <w:ind w:left="187"/>
              <w:rPr>
                <w:color w:val="000000"/>
              </w:rPr>
            </w:pPr>
            <w:r>
              <w:rPr>
                <w:color w:val="000000"/>
              </w:rPr>
              <w:t>PC Main</w:t>
            </w:r>
          </w:p>
        </w:tc>
        <w:tc>
          <w:tcPr>
            <w:tcW w:w="2693" w:type="dxa"/>
            <w:vAlign w:val="bottom"/>
          </w:tcPr>
          <w:p w:rsidR="00B70F9D" w:rsidRPr="00E05BBB" w:rsidRDefault="00B70F9D" w:rsidP="00B70F9D">
            <w:pPr>
              <w:rPr>
                <w:color w:val="000000"/>
              </w:rPr>
            </w:pPr>
            <w:r w:rsidRPr="00E05BBB">
              <w:rPr>
                <w:color w:val="000000"/>
              </w:rPr>
              <w:t xml:space="preserve"> £  32,716.26 </w:t>
            </w:r>
          </w:p>
        </w:tc>
      </w:tr>
      <w:tr w:rsidR="00B70F9D" w:rsidRPr="003C50E6" w:rsidTr="00B70F9D">
        <w:tc>
          <w:tcPr>
            <w:tcW w:w="2279" w:type="dxa"/>
          </w:tcPr>
          <w:p w:rsidR="00B70F9D" w:rsidRDefault="00B70F9D" w:rsidP="00D8054D">
            <w:pPr>
              <w:spacing w:after="0"/>
              <w:ind w:left="187"/>
              <w:rPr>
                <w:color w:val="000000"/>
              </w:rPr>
            </w:pPr>
            <w:r>
              <w:rPr>
                <w:color w:val="000000"/>
              </w:rPr>
              <w:t>PC Business</w:t>
            </w:r>
          </w:p>
        </w:tc>
        <w:tc>
          <w:tcPr>
            <w:tcW w:w="2693" w:type="dxa"/>
            <w:vAlign w:val="bottom"/>
          </w:tcPr>
          <w:p w:rsidR="00B70F9D" w:rsidRPr="00E05BBB" w:rsidRDefault="00B70F9D" w:rsidP="00B70F9D">
            <w:pPr>
              <w:rPr>
                <w:color w:val="000000"/>
              </w:rPr>
            </w:pPr>
            <w:r w:rsidRPr="00E05BBB">
              <w:rPr>
                <w:color w:val="000000"/>
              </w:rPr>
              <w:t xml:space="preserve"> £  26,216.95 </w:t>
            </w:r>
          </w:p>
        </w:tc>
      </w:tr>
      <w:tr w:rsidR="00B70F9D" w:rsidRPr="003C50E6" w:rsidTr="00B70F9D">
        <w:tc>
          <w:tcPr>
            <w:tcW w:w="2279" w:type="dxa"/>
          </w:tcPr>
          <w:p w:rsidR="00B70F9D" w:rsidRDefault="00B70F9D" w:rsidP="00D8054D">
            <w:pPr>
              <w:spacing w:after="0"/>
              <w:ind w:left="187"/>
              <w:rPr>
                <w:color w:val="000000"/>
              </w:rPr>
            </w:pPr>
            <w:r>
              <w:rPr>
                <w:color w:val="000000"/>
              </w:rPr>
              <w:t>Total</w:t>
            </w:r>
          </w:p>
        </w:tc>
        <w:tc>
          <w:tcPr>
            <w:tcW w:w="2693" w:type="dxa"/>
            <w:vAlign w:val="bottom"/>
          </w:tcPr>
          <w:p w:rsidR="00B70F9D" w:rsidRPr="00E05BBB" w:rsidRDefault="00B70F9D" w:rsidP="00B70F9D">
            <w:pPr>
              <w:rPr>
                <w:color w:val="000000"/>
              </w:rPr>
            </w:pPr>
            <w:r w:rsidRPr="00E05BBB">
              <w:rPr>
                <w:color w:val="000000"/>
              </w:rPr>
              <w:t xml:space="preserve"> £  58,933.21 </w:t>
            </w:r>
          </w:p>
        </w:tc>
      </w:tr>
    </w:tbl>
    <w:p w:rsidR="002B230E" w:rsidRPr="003B4F4B" w:rsidRDefault="002B230E" w:rsidP="00D8054D">
      <w:pPr>
        <w:spacing w:after="0"/>
        <w:ind w:left="0"/>
        <w:rPr>
          <w:szCs w:val="24"/>
          <w:u w:val="single"/>
        </w:rPr>
      </w:pPr>
    </w:p>
    <w:p w:rsidR="002B230E" w:rsidRDefault="002B230E" w:rsidP="002B230E">
      <w:pPr>
        <w:spacing w:after="240"/>
        <w:rPr>
          <w:szCs w:val="24"/>
          <w:u w:val="single"/>
        </w:rPr>
      </w:pPr>
      <w:r w:rsidRPr="003B4F4B">
        <w:rPr>
          <w:szCs w:val="24"/>
          <w:u w:val="single"/>
        </w:rPr>
        <w:t>Co</w:t>
      </w:r>
      <w:r w:rsidRPr="00EC0AC0">
        <w:rPr>
          <w:szCs w:val="24"/>
          <w:u w:val="single"/>
        </w:rPr>
        <w:t>mmittee Balances</w:t>
      </w:r>
    </w:p>
    <w:tbl>
      <w:tblPr>
        <w:tblW w:w="8887" w:type="dxa"/>
        <w:tblInd w:w="840" w:type="dxa"/>
        <w:tblLook w:val="04A0"/>
      </w:tblPr>
      <w:tblGrid>
        <w:gridCol w:w="1701"/>
        <w:gridCol w:w="1276"/>
        <w:gridCol w:w="1106"/>
        <w:gridCol w:w="1106"/>
        <w:gridCol w:w="1317"/>
        <w:gridCol w:w="1161"/>
        <w:gridCol w:w="1220"/>
      </w:tblGrid>
      <w:tr w:rsidR="00B70F9D" w:rsidRPr="00B70F9D" w:rsidTr="00B70F9D">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 </w:t>
            </w:r>
          </w:p>
        </w:tc>
        <w:tc>
          <w:tcPr>
            <w:tcW w:w="1276"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HPC</w:t>
            </w:r>
          </w:p>
        </w:tc>
        <w:tc>
          <w:tcPr>
            <w:tcW w:w="1106"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proofErr w:type="spellStart"/>
            <w:r w:rsidRPr="00B70F9D">
              <w:rPr>
                <w:rFonts w:eastAsia="Times New Roman"/>
                <w:b/>
                <w:bCs/>
                <w:color w:val="000000"/>
                <w:sz w:val="20"/>
                <w:szCs w:val="20"/>
                <w:lang w:eastAsia="en-GB"/>
              </w:rPr>
              <w:t>Jumpa</w:t>
            </w:r>
            <w:proofErr w:type="spellEnd"/>
          </w:p>
        </w:tc>
        <w:tc>
          <w:tcPr>
            <w:tcW w:w="1106"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Pavilion</w:t>
            </w:r>
          </w:p>
        </w:tc>
        <w:tc>
          <w:tcPr>
            <w:tcW w:w="1317"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Playground</w:t>
            </w:r>
          </w:p>
        </w:tc>
        <w:tc>
          <w:tcPr>
            <w:tcW w:w="1161"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MX</w:t>
            </w:r>
          </w:p>
        </w:tc>
        <w:tc>
          <w:tcPr>
            <w:tcW w:w="1220" w:type="dxa"/>
            <w:tcBorders>
              <w:top w:val="single" w:sz="8" w:space="0" w:color="auto"/>
              <w:left w:val="nil"/>
              <w:bottom w:val="single" w:sz="8" w:space="0" w:color="auto"/>
              <w:right w:val="single" w:sz="8" w:space="0" w:color="auto"/>
            </w:tcBorders>
            <w:shd w:val="clear" w:color="000000" w:fill="DBE5F1"/>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Total</w:t>
            </w:r>
          </w:p>
        </w:tc>
      </w:tr>
      <w:tr w:rsidR="00B70F9D" w:rsidRPr="00B70F9D" w:rsidTr="00B70F9D">
        <w:trPr>
          <w:trHeight w:val="300"/>
        </w:trPr>
        <w:tc>
          <w:tcPr>
            <w:tcW w:w="1701" w:type="dxa"/>
            <w:tcBorders>
              <w:top w:val="nil"/>
              <w:left w:val="single" w:sz="8" w:space="0" w:color="auto"/>
              <w:bottom w:val="nil"/>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color w:val="000000"/>
                <w:sz w:val="20"/>
                <w:szCs w:val="20"/>
                <w:lang w:eastAsia="en-GB"/>
              </w:rPr>
            </w:pPr>
            <w:r w:rsidRPr="00B70F9D">
              <w:rPr>
                <w:rFonts w:eastAsia="Times New Roman"/>
                <w:color w:val="000000"/>
                <w:sz w:val="20"/>
                <w:szCs w:val="20"/>
                <w:lang w:eastAsia="en-GB"/>
              </w:rPr>
              <w:t>Balance B/F</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£20,295.10</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£5,415.66</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£5,244.35</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£33,147.39</w:t>
            </w:r>
          </w:p>
        </w:tc>
        <w:tc>
          <w:tcPr>
            <w:tcW w:w="1161" w:type="dxa"/>
            <w:tcBorders>
              <w:top w:val="nil"/>
              <w:left w:val="nil"/>
              <w:bottom w:val="nil"/>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 </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£64,102.50</w:t>
            </w:r>
          </w:p>
        </w:tc>
      </w:tr>
      <w:tr w:rsidR="00B70F9D" w:rsidRPr="00B70F9D" w:rsidTr="00B70F9D">
        <w:trPr>
          <w:trHeight w:val="315"/>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color w:val="000000"/>
                <w:sz w:val="20"/>
                <w:szCs w:val="20"/>
                <w:lang w:eastAsia="en-GB"/>
              </w:rPr>
            </w:pPr>
            <w:r w:rsidRPr="00B70F9D">
              <w:rPr>
                <w:rFonts w:eastAsia="Times New Roman"/>
                <w:color w:val="000000"/>
                <w:sz w:val="20"/>
                <w:szCs w:val="20"/>
                <w:lang w:eastAsia="en-GB"/>
              </w:rPr>
              <w:t>(as of 02/11/20)</w:t>
            </w:r>
          </w:p>
        </w:tc>
        <w:tc>
          <w:tcPr>
            <w:tcW w:w="127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color w:val="000000"/>
                <w:sz w:val="20"/>
                <w:szCs w:val="20"/>
                <w:lang w:eastAsia="en-GB"/>
              </w:rPr>
            </w:pPr>
          </w:p>
        </w:tc>
        <w:tc>
          <w:tcPr>
            <w:tcW w:w="110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color w:val="000000"/>
                <w:sz w:val="20"/>
                <w:szCs w:val="20"/>
                <w:lang w:eastAsia="en-GB"/>
              </w:rPr>
            </w:pPr>
          </w:p>
        </w:tc>
        <w:tc>
          <w:tcPr>
            <w:tcW w:w="110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color w:val="000000"/>
                <w:sz w:val="20"/>
                <w:szCs w:val="20"/>
                <w:lang w:eastAsia="en-GB"/>
              </w:rPr>
            </w:pPr>
          </w:p>
        </w:tc>
        <w:tc>
          <w:tcPr>
            <w:tcW w:w="1317"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color w:val="000000"/>
                <w:sz w:val="20"/>
                <w:szCs w:val="20"/>
                <w:lang w:eastAsia="en-GB"/>
              </w:rPr>
            </w:pPr>
          </w:p>
        </w:tc>
        <w:tc>
          <w:tcPr>
            <w:tcW w:w="1161" w:type="dxa"/>
            <w:tcBorders>
              <w:top w:val="nil"/>
              <w:left w:val="nil"/>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£0.00</w:t>
            </w:r>
          </w:p>
        </w:tc>
        <w:tc>
          <w:tcPr>
            <w:tcW w:w="1220"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color w:val="000000"/>
                <w:sz w:val="20"/>
                <w:szCs w:val="20"/>
                <w:lang w:eastAsia="en-GB"/>
              </w:rPr>
            </w:pPr>
          </w:p>
        </w:tc>
      </w:tr>
      <w:tr w:rsidR="00B70F9D" w:rsidRPr="00B70F9D" w:rsidTr="00B70F9D">
        <w:trPr>
          <w:trHeight w:val="315"/>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color w:val="000000"/>
                <w:sz w:val="20"/>
                <w:szCs w:val="20"/>
                <w:lang w:eastAsia="en-GB"/>
              </w:rPr>
            </w:pPr>
            <w:r w:rsidRPr="00B70F9D">
              <w:rPr>
                <w:rFonts w:eastAsia="Times New Roman"/>
                <w:color w:val="000000"/>
                <w:sz w:val="20"/>
                <w:szCs w:val="20"/>
                <w:lang w:eastAsia="en-GB"/>
              </w:rPr>
              <w:t>Total Payment</w:t>
            </w:r>
          </w:p>
        </w:tc>
        <w:tc>
          <w:tcPr>
            <w:tcW w:w="127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£4,075.70</w:t>
            </w:r>
          </w:p>
        </w:tc>
        <w:tc>
          <w:tcPr>
            <w:tcW w:w="110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£0.00</w:t>
            </w:r>
          </w:p>
        </w:tc>
        <w:tc>
          <w:tcPr>
            <w:tcW w:w="110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£2,970.46</w:t>
            </w:r>
          </w:p>
        </w:tc>
        <w:tc>
          <w:tcPr>
            <w:tcW w:w="1317"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£0.00</w:t>
            </w:r>
          </w:p>
        </w:tc>
        <w:tc>
          <w:tcPr>
            <w:tcW w:w="1161"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£3,589.80</w:t>
            </w:r>
          </w:p>
        </w:tc>
        <w:tc>
          <w:tcPr>
            <w:tcW w:w="1220"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£10,635.96</w:t>
            </w:r>
          </w:p>
        </w:tc>
      </w:tr>
      <w:tr w:rsidR="00B70F9D" w:rsidRPr="00B70F9D" w:rsidTr="00B70F9D">
        <w:trPr>
          <w:trHeight w:val="315"/>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color w:val="000000"/>
                <w:sz w:val="20"/>
                <w:szCs w:val="20"/>
                <w:lang w:eastAsia="en-GB"/>
              </w:rPr>
            </w:pPr>
            <w:r w:rsidRPr="00B70F9D">
              <w:rPr>
                <w:rFonts w:eastAsia="Times New Roman"/>
                <w:color w:val="000000"/>
                <w:sz w:val="20"/>
                <w:szCs w:val="20"/>
                <w:lang w:eastAsia="en-GB"/>
              </w:rPr>
              <w:t>Total Receipt</w:t>
            </w:r>
          </w:p>
        </w:tc>
        <w:tc>
          <w:tcPr>
            <w:tcW w:w="127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£169.01</w:t>
            </w:r>
          </w:p>
        </w:tc>
        <w:tc>
          <w:tcPr>
            <w:tcW w:w="110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£1,095.00</w:t>
            </w:r>
          </w:p>
        </w:tc>
        <w:tc>
          <w:tcPr>
            <w:tcW w:w="1106"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£410.00</w:t>
            </w:r>
          </w:p>
        </w:tc>
        <w:tc>
          <w:tcPr>
            <w:tcW w:w="1317"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£0.00</w:t>
            </w:r>
          </w:p>
        </w:tc>
        <w:tc>
          <w:tcPr>
            <w:tcW w:w="1161"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Pr>
                <w:rFonts w:eastAsia="Times New Roman"/>
                <w:color w:val="000000"/>
                <w:sz w:val="20"/>
                <w:szCs w:val="20"/>
                <w:lang w:eastAsia="en-GB"/>
              </w:rPr>
              <w:t>£</w:t>
            </w:r>
            <w:r w:rsidRPr="00B70F9D">
              <w:rPr>
                <w:rFonts w:eastAsia="Times New Roman"/>
                <w:color w:val="000000"/>
                <w:sz w:val="20"/>
                <w:szCs w:val="20"/>
                <w:lang w:eastAsia="en-GB"/>
              </w:rPr>
              <w:t>3</w:t>
            </w:r>
            <w:r>
              <w:rPr>
                <w:rFonts w:eastAsia="Times New Roman"/>
                <w:color w:val="000000"/>
                <w:sz w:val="20"/>
                <w:szCs w:val="20"/>
                <w:lang w:eastAsia="en-GB"/>
              </w:rPr>
              <w:t>,</w:t>
            </w:r>
            <w:r w:rsidRPr="00B70F9D">
              <w:rPr>
                <w:rFonts w:eastAsia="Times New Roman"/>
                <w:color w:val="000000"/>
                <w:sz w:val="20"/>
                <w:szCs w:val="20"/>
                <w:lang w:eastAsia="en-GB"/>
              </w:rPr>
              <w:t>792.66</w:t>
            </w:r>
          </w:p>
        </w:tc>
        <w:tc>
          <w:tcPr>
            <w:tcW w:w="1220" w:type="dxa"/>
            <w:tcBorders>
              <w:top w:val="nil"/>
              <w:left w:val="nil"/>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color w:val="000000"/>
                <w:sz w:val="20"/>
                <w:szCs w:val="20"/>
                <w:lang w:eastAsia="en-GB"/>
              </w:rPr>
            </w:pPr>
            <w:r w:rsidRPr="00B70F9D">
              <w:rPr>
                <w:rFonts w:eastAsia="Times New Roman"/>
                <w:color w:val="000000"/>
                <w:sz w:val="20"/>
                <w:szCs w:val="20"/>
                <w:lang w:eastAsia="en-GB"/>
              </w:rPr>
              <w:t>£5,466.67</w:t>
            </w:r>
          </w:p>
        </w:tc>
      </w:tr>
      <w:tr w:rsidR="00B70F9D" w:rsidRPr="00B70F9D" w:rsidTr="00B70F9D">
        <w:trPr>
          <w:trHeight w:val="300"/>
        </w:trPr>
        <w:tc>
          <w:tcPr>
            <w:tcW w:w="1701" w:type="dxa"/>
            <w:tcBorders>
              <w:top w:val="nil"/>
              <w:left w:val="single" w:sz="8" w:space="0" w:color="auto"/>
              <w:bottom w:val="nil"/>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b/>
                <w:bCs/>
                <w:color w:val="000000"/>
                <w:sz w:val="20"/>
                <w:szCs w:val="20"/>
                <w:lang w:eastAsia="en-GB"/>
              </w:rPr>
            </w:pPr>
            <w:r w:rsidRPr="00B70F9D">
              <w:rPr>
                <w:rFonts w:eastAsia="Times New Roman"/>
                <w:b/>
                <w:bCs/>
                <w:color w:val="000000"/>
                <w:sz w:val="20"/>
                <w:szCs w:val="20"/>
                <w:lang w:eastAsia="en-GB"/>
              </w:rPr>
              <w:t>Balance</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£16,388.41</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£6,510.66</w:t>
            </w:r>
          </w:p>
        </w:tc>
        <w:tc>
          <w:tcPr>
            <w:tcW w:w="110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£2,683.89</w:t>
            </w:r>
          </w:p>
        </w:tc>
        <w:tc>
          <w:tcPr>
            <w:tcW w:w="13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£33,147.39</w:t>
            </w:r>
          </w:p>
        </w:tc>
        <w:tc>
          <w:tcPr>
            <w:tcW w:w="1161" w:type="dxa"/>
            <w:tcBorders>
              <w:top w:val="nil"/>
              <w:left w:val="nil"/>
              <w:bottom w:val="nil"/>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 </w:t>
            </w:r>
          </w:p>
        </w:tc>
        <w:tc>
          <w:tcPr>
            <w:tcW w:w="12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£58,933.21</w:t>
            </w:r>
          </w:p>
        </w:tc>
      </w:tr>
      <w:tr w:rsidR="00B70F9D" w:rsidRPr="00B70F9D" w:rsidTr="00B70F9D">
        <w:trPr>
          <w:trHeight w:val="315"/>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B70F9D" w:rsidRPr="00B70F9D" w:rsidRDefault="00B70F9D" w:rsidP="00B70F9D">
            <w:pPr>
              <w:spacing w:after="0" w:line="240" w:lineRule="auto"/>
              <w:ind w:left="0"/>
              <w:rPr>
                <w:rFonts w:eastAsia="Times New Roman"/>
                <w:b/>
                <w:bCs/>
                <w:color w:val="000000"/>
                <w:sz w:val="18"/>
                <w:szCs w:val="18"/>
                <w:lang w:eastAsia="en-GB"/>
              </w:rPr>
            </w:pPr>
            <w:r w:rsidRPr="00B70F9D">
              <w:rPr>
                <w:rFonts w:eastAsia="Times New Roman"/>
                <w:b/>
                <w:bCs/>
                <w:color w:val="000000"/>
                <w:sz w:val="18"/>
                <w:szCs w:val="18"/>
                <w:lang w:eastAsia="en-GB"/>
              </w:rPr>
              <w:t>(</w:t>
            </w:r>
            <w:r w:rsidRPr="00B70F9D">
              <w:rPr>
                <w:rFonts w:eastAsia="Times New Roman"/>
                <w:b/>
                <w:bCs/>
                <w:color w:val="000000"/>
                <w:sz w:val="20"/>
                <w:szCs w:val="20"/>
                <w:lang w:eastAsia="en-GB"/>
              </w:rPr>
              <w:t>as of 29/01/21)</w:t>
            </w:r>
          </w:p>
        </w:tc>
        <w:tc>
          <w:tcPr>
            <w:tcW w:w="127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b/>
                <w:bCs/>
                <w:color w:val="000000"/>
                <w:sz w:val="20"/>
                <w:szCs w:val="20"/>
                <w:lang w:eastAsia="en-GB"/>
              </w:rPr>
            </w:pPr>
          </w:p>
        </w:tc>
        <w:tc>
          <w:tcPr>
            <w:tcW w:w="110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b/>
                <w:bCs/>
                <w:color w:val="000000"/>
                <w:sz w:val="20"/>
                <w:szCs w:val="20"/>
                <w:lang w:eastAsia="en-GB"/>
              </w:rPr>
            </w:pPr>
          </w:p>
        </w:tc>
        <w:tc>
          <w:tcPr>
            <w:tcW w:w="1106"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b/>
                <w:bCs/>
                <w:color w:val="000000"/>
                <w:sz w:val="20"/>
                <w:szCs w:val="20"/>
                <w:lang w:eastAsia="en-GB"/>
              </w:rPr>
            </w:pPr>
          </w:p>
        </w:tc>
        <w:tc>
          <w:tcPr>
            <w:tcW w:w="1317"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b/>
                <w:bCs/>
                <w:color w:val="000000"/>
                <w:sz w:val="20"/>
                <w:szCs w:val="20"/>
                <w:lang w:eastAsia="en-GB"/>
              </w:rPr>
            </w:pPr>
          </w:p>
        </w:tc>
        <w:tc>
          <w:tcPr>
            <w:tcW w:w="1161" w:type="dxa"/>
            <w:tcBorders>
              <w:top w:val="nil"/>
              <w:left w:val="nil"/>
              <w:bottom w:val="single" w:sz="8" w:space="0" w:color="000000"/>
              <w:right w:val="single" w:sz="8" w:space="0" w:color="auto"/>
            </w:tcBorders>
            <w:shd w:val="clear" w:color="auto" w:fill="auto"/>
            <w:noWrap/>
            <w:vAlign w:val="bottom"/>
            <w:hideMark/>
          </w:tcPr>
          <w:p w:rsidR="00B70F9D" w:rsidRPr="00B70F9D" w:rsidRDefault="00B70F9D" w:rsidP="00B70F9D">
            <w:pPr>
              <w:spacing w:after="0" w:line="240" w:lineRule="auto"/>
              <w:ind w:left="0"/>
              <w:jc w:val="right"/>
              <w:rPr>
                <w:rFonts w:eastAsia="Times New Roman"/>
                <w:b/>
                <w:bCs/>
                <w:color w:val="000000"/>
                <w:sz w:val="20"/>
                <w:szCs w:val="20"/>
                <w:lang w:eastAsia="en-GB"/>
              </w:rPr>
            </w:pPr>
            <w:r w:rsidRPr="00B70F9D">
              <w:rPr>
                <w:rFonts w:eastAsia="Times New Roman"/>
                <w:b/>
                <w:bCs/>
                <w:color w:val="000000"/>
                <w:sz w:val="20"/>
                <w:szCs w:val="20"/>
                <w:lang w:eastAsia="en-GB"/>
              </w:rPr>
              <w:t>£202.86</w:t>
            </w:r>
          </w:p>
        </w:tc>
        <w:tc>
          <w:tcPr>
            <w:tcW w:w="1220" w:type="dxa"/>
            <w:vMerge/>
            <w:tcBorders>
              <w:top w:val="nil"/>
              <w:left w:val="single" w:sz="8" w:space="0" w:color="auto"/>
              <w:bottom w:val="single" w:sz="8" w:space="0" w:color="000000"/>
              <w:right w:val="single" w:sz="8" w:space="0" w:color="auto"/>
            </w:tcBorders>
            <w:vAlign w:val="center"/>
            <w:hideMark/>
          </w:tcPr>
          <w:p w:rsidR="00B70F9D" w:rsidRPr="00B70F9D" w:rsidRDefault="00B70F9D" w:rsidP="00B70F9D">
            <w:pPr>
              <w:spacing w:after="0" w:line="240" w:lineRule="auto"/>
              <w:ind w:left="0"/>
              <w:rPr>
                <w:rFonts w:eastAsia="Times New Roman"/>
                <w:b/>
                <w:bCs/>
                <w:color w:val="000000"/>
                <w:sz w:val="20"/>
                <w:szCs w:val="20"/>
                <w:lang w:eastAsia="en-GB"/>
              </w:rPr>
            </w:pPr>
          </w:p>
        </w:tc>
      </w:tr>
    </w:tbl>
    <w:p w:rsidR="002B230E" w:rsidRPr="00177E0E" w:rsidRDefault="002B230E" w:rsidP="00D8054D">
      <w:pPr>
        <w:spacing w:after="0"/>
        <w:ind w:left="0"/>
        <w:rPr>
          <w:b/>
          <w:bCs/>
        </w:rPr>
      </w:pPr>
    </w:p>
    <w:p w:rsidR="00C03E20" w:rsidRPr="0030313B" w:rsidRDefault="0030313B" w:rsidP="00C03E20">
      <w:pPr>
        <w:spacing w:after="0"/>
        <w:rPr>
          <w:bCs/>
        </w:rPr>
      </w:pPr>
      <w:r w:rsidRPr="0030313B">
        <w:rPr>
          <w:bCs/>
        </w:rPr>
        <w:t>5.4.</w:t>
      </w:r>
      <w:r w:rsidRPr="0030313B">
        <w:rPr>
          <w:bCs/>
        </w:rPr>
        <w:tab/>
      </w:r>
      <w:r>
        <w:rPr>
          <w:bCs/>
        </w:rPr>
        <w:t xml:space="preserve">Staff payrolls were reviewed and bank standing orders were </w:t>
      </w:r>
      <w:r>
        <w:rPr>
          <w:b/>
          <w:bCs/>
        </w:rPr>
        <w:t>authorised</w:t>
      </w:r>
      <w:r>
        <w:rPr>
          <w:bCs/>
        </w:rPr>
        <w:t xml:space="preserve"> to be set up</w:t>
      </w:r>
      <w:r w:rsidRPr="0030313B">
        <w:rPr>
          <w:bCs/>
        </w:rPr>
        <w:t xml:space="preserve"> for </w:t>
      </w:r>
      <w:r>
        <w:rPr>
          <w:bCs/>
        </w:rPr>
        <w:t xml:space="preserve">monthly </w:t>
      </w:r>
      <w:r w:rsidRPr="0030313B">
        <w:rPr>
          <w:bCs/>
        </w:rPr>
        <w:t>staff sal</w:t>
      </w:r>
      <w:r>
        <w:rPr>
          <w:bCs/>
        </w:rPr>
        <w:t xml:space="preserve">aries and home working allowances. </w:t>
      </w:r>
    </w:p>
    <w:p w:rsidR="0030313B" w:rsidRPr="0030313B" w:rsidRDefault="0030313B" w:rsidP="0030313B">
      <w:pPr>
        <w:spacing w:after="0"/>
        <w:rPr>
          <w:bCs/>
        </w:rPr>
      </w:pPr>
    </w:p>
    <w:p w:rsidR="00C03E20" w:rsidRDefault="0030313B" w:rsidP="00C03E20">
      <w:pPr>
        <w:spacing w:after="0"/>
        <w:rPr>
          <w:bCs/>
        </w:rPr>
      </w:pPr>
      <w:r w:rsidRPr="0030313B">
        <w:rPr>
          <w:bCs/>
        </w:rPr>
        <w:t xml:space="preserve">5.5      </w:t>
      </w:r>
      <w:r w:rsidR="00114641">
        <w:rPr>
          <w:bCs/>
        </w:rPr>
        <w:t>P</w:t>
      </w:r>
      <w:r w:rsidRPr="0030313B">
        <w:rPr>
          <w:bCs/>
        </w:rPr>
        <w:t>arish council accounting software:</w:t>
      </w:r>
    </w:p>
    <w:p w:rsidR="0030313B" w:rsidRDefault="00114641" w:rsidP="00C03E20">
      <w:pPr>
        <w:spacing w:after="0"/>
        <w:rPr>
          <w:bCs/>
        </w:rPr>
      </w:pPr>
      <w:r>
        <w:rPr>
          <w:bCs/>
        </w:rPr>
        <w:t xml:space="preserve">The accounting software would enable </w:t>
      </w:r>
      <w:r w:rsidR="00A640EE">
        <w:rPr>
          <w:bCs/>
        </w:rPr>
        <w:t>HPC</w:t>
      </w:r>
      <w:r w:rsidR="0030313B" w:rsidRPr="0030313B">
        <w:rPr>
          <w:bCs/>
        </w:rPr>
        <w:t xml:space="preserve"> to </w:t>
      </w:r>
      <w:r w:rsidR="00A640EE">
        <w:rPr>
          <w:bCs/>
        </w:rPr>
        <w:t xml:space="preserve">generate reports such as actual </w:t>
      </w:r>
      <w:r w:rsidR="0030313B" w:rsidRPr="0030313B">
        <w:rPr>
          <w:bCs/>
        </w:rPr>
        <w:t>vs</w:t>
      </w:r>
      <w:r w:rsidR="00A640EE">
        <w:rPr>
          <w:bCs/>
        </w:rPr>
        <w:t>.</w:t>
      </w:r>
      <w:r w:rsidR="0030313B" w:rsidRPr="0030313B">
        <w:rPr>
          <w:bCs/>
        </w:rPr>
        <w:t xml:space="preserve"> budget, monthly bank reconciliations and also </w:t>
      </w:r>
      <w:r w:rsidR="00A640EE">
        <w:rPr>
          <w:bCs/>
        </w:rPr>
        <w:t>help</w:t>
      </w:r>
      <w:r w:rsidR="0030313B" w:rsidRPr="0030313B">
        <w:rPr>
          <w:bCs/>
        </w:rPr>
        <w:t xml:space="preserve"> with the audit and annual return. </w:t>
      </w:r>
      <w:r w:rsidR="00A640EE">
        <w:rPr>
          <w:bCs/>
        </w:rPr>
        <w:t>Lisa Wilkinson (RFO to be appointed in agenda item 7)</w:t>
      </w:r>
      <w:r w:rsidR="0030313B" w:rsidRPr="0030313B">
        <w:rPr>
          <w:bCs/>
        </w:rPr>
        <w:t xml:space="preserve"> obtained quotes from 3 different companies:</w:t>
      </w:r>
    </w:p>
    <w:p w:rsidR="00A640EE" w:rsidRPr="0030313B" w:rsidRDefault="00A640EE" w:rsidP="00A640EE">
      <w:pPr>
        <w:spacing w:after="0"/>
        <w:rPr>
          <w:bCs/>
        </w:rPr>
      </w:pPr>
    </w:p>
    <w:p w:rsidR="0030313B" w:rsidRPr="0030313B" w:rsidRDefault="00A640EE" w:rsidP="00A640EE">
      <w:pPr>
        <w:spacing w:after="0"/>
        <w:rPr>
          <w:bCs/>
        </w:rPr>
      </w:pPr>
      <w:r>
        <w:rPr>
          <w:bCs/>
        </w:rPr>
        <w:t>Scribe 2000 – £144 pa</w:t>
      </w:r>
    </w:p>
    <w:p w:rsidR="0030313B" w:rsidRPr="0030313B" w:rsidRDefault="0030313B" w:rsidP="0030313B">
      <w:pPr>
        <w:spacing w:after="0"/>
        <w:rPr>
          <w:bCs/>
        </w:rPr>
      </w:pPr>
      <w:proofErr w:type="spellStart"/>
      <w:r w:rsidRPr="0030313B">
        <w:rPr>
          <w:bCs/>
        </w:rPr>
        <w:t>Rialtas</w:t>
      </w:r>
      <w:proofErr w:type="spellEnd"/>
      <w:r w:rsidRPr="0030313B">
        <w:rPr>
          <w:bCs/>
        </w:rPr>
        <w:t xml:space="preserve">  (Alpha) </w:t>
      </w:r>
      <w:r w:rsidR="00A640EE">
        <w:rPr>
          <w:bCs/>
        </w:rPr>
        <w:t xml:space="preserve">– </w:t>
      </w:r>
      <w:r w:rsidRPr="0030313B">
        <w:rPr>
          <w:bCs/>
        </w:rPr>
        <w:t>£495.50 for 1st</w:t>
      </w:r>
      <w:r w:rsidR="00A640EE">
        <w:rPr>
          <w:bCs/>
        </w:rPr>
        <w:t xml:space="preserve"> year then £123 annually</w:t>
      </w:r>
    </w:p>
    <w:p w:rsidR="0030313B" w:rsidRDefault="0030313B" w:rsidP="0030313B">
      <w:pPr>
        <w:spacing w:after="0"/>
        <w:rPr>
          <w:bCs/>
        </w:rPr>
      </w:pPr>
      <w:proofErr w:type="spellStart"/>
      <w:r w:rsidRPr="0030313B">
        <w:rPr>
          <w:bCs/>
        </w:rPr>
        <w:t>Mon</w:t>
      </w:r>
      <w:r w:rsidR="00A640EE">
        <w:rPr>
          <w:bCs/>
        </w:rPr>
        <w:t>eyManager</w:t>
      </w:r>
      <w:proofErr w:type="spellEnd"/>
      <w:r w:rsidR="00A640EE">
        <w:rPr>
          <w:bCs/>
        </w:rPr>
        <w:t xml:space="preserve"> – £110 pa</w:t>
      </w:r>
    </w:p>
    <w:p w:rsidR="00A640EE" w:rsidRDefault="00A640EE" w:rsidP="0030313B">
      <w:pPr>
        <w:spacing w:after="0"/>
        <w:rPr>
          <w:bCs/>
        </w:rPr>
      </w:pPr>
    </w:p>
    <w:p w:rsidR="0030313B" w:rsidRPr="0030313B" w:rsidRDefault="00A640EE" w:rsidP="00923E66">
      <w:pPr>
        <w:spacing w:after="0"/>
        <w:rPr>
          <w:bCs/>
        </w:rPr>
      </w:pPr>
      <w:r>
        <w:rPr>
          <w:bCs/>
        </w:rPr>
        <w:t xml:space="preserve">The council </w:t>
      </w:r>
      <w:r>
        <w:rPr>
          <w:b/>
          <w:bCs/>
        </w:rPr>
        <w:t xml:space="preserve">agreed </w:t>
      </w:r>
      <w:r>
        <w:rPr>
          <w:bCs/>
        </w:rPr>
        <w:t>to purchase and set up Scribe accounting software.</w:t>
      </w:r>
    </w:p>
    <w:p w:rsidR="0030313B" w:rsidRPr="0030313B" w:rsidRDefault="0030313B" w:rsidP="00A640EE">
      <w:pPr>
        <w:spacing w:after="0"/>
        <w:ind w:left="0"/>
        <w:rPr>
          <w:bCs/>
        </w:rPr>
      </w:pPr>
    </w:p>
    <w:p w:rsidR="00481190" w:rsidRDefault="0030313B" w:rsidP="00C03E20">
      <w:pPr>
        <w:spacing w:after="0"/>
        <w:rPr>
          <w:bCs/>
        </w:rPr>
      </w:pPr>
      <w:r w:rsidRPr="0030313B">
        <w:rPr>
          <w:bCs/>
        </w:rPr>
        <w:lastRenderedPageBreak/>
        <w:t>5.6      NatWest Mandate</w:t>
      </w:r>
      <w:r w:rsidR="00A640EE">
        <w:rPr>
          <w:bCs/>
        </w:rPr>
        <w:t xml:space="preserve"> –</w:t>
      </w:r>
      <w:r w:rsidRPr="0030313B">
        <w:rPr>
          <w:bCs/>
        </w:rPr>
        <w:t xml:space="preserve"> to add Lisa Wilkinson to and remove Cindy Koberl from authorised signatories</w:t>
      </w:r>
      <w:r w:rsidR="00A640EE">
        <w:rPr>
          <w:bCs/>
        </w:rPr>
        <w:t xml:space="preserve"> was </w:t>
      </w:r>
      <w:r w:rsidR="00A640EE">
        <w:rPr>
          <w:b/>
          <w:bCs/>
        </w:rPr>
        <w:t>approved</w:t>
      </w:r>
      <w:r w:rsidRPr="0030313B">
        <w:rPr>
          <w:bCs/>
        </w:rPr>
        <w:t>.</w:t>
      </w:r>
    </w:p>
    <w:p w:rsidR="00C03E20" w:rsidRDefault="00C03E20" w:rsidP="00324F08">
      <w:pPr>
        <w:spacing w:after="0"/>
        <w:ind w:left="0"/>
        <w:rPr>
          <w:bCs/>
        </w:rPr>
      </w:pPr>
    </w:p>
    <w:p w:rsidR="00481190" w:rsidRDefault="00481190" w:rsidP="00D8054D">
      <w:pPr>
        <w:spacing w:after="0"/>
        <w:ind w:left="0"/>
        <w:rPr>
          <w:bCs/>
        </w:rPr>
      </w:pPr>
    </w:p>
    <w:p w:rsidR="003C0F4D" w:rsidRDefault="00BF75DD" w:rsidP="003C0F4D">
      <w:pPr>
        <w:pStyle w:val="headingsmin"/>
      </w:pPr>
      <w:r w:rsidRPr="00AF60DF">
        <w:t xml:space="preserve">Planning Report </w:t>
      </w:r>
    </w:p>
    <w:p w:rsidR="003C0F4D" w:rsidRPr="00E3243F" w:rsidRDefault="003C0F4D" w:rsidP="00196FE8">
      <w:pPr>
        <w:pStyle w:val="headingsmin"/>
        <w:numPr>
          <w:ilvl w:val="0"/>
          <w:numId w:val="0"/>
        </w:numPr>
      </w:pPr>
    </w:p>
    <w:p w:rsidR="003C0F4D" w:rsidRDefault="00EE1600" w:rsidP="00054CFD">
      <w:pPr>
        <w:pStyle w:val="ListParagraph"/>
        <w:numPr>
          <w:ilvl w:val="1"/>
          <w:numId w:val="2"/>
        </w:numPr>
        <w:spacing w:after="0" w:line="276" w:lineRule="auto"/>
        <w:ind w:left="1276"/>
      </w:pPr>
      <w:r w:rsidRPr="00A630C9">
        <w:t>The Parish Council was considering</w:t>
      </w:r>
      <w:r w:rsidR="003C0F4D" w:rsidRPr="00A630C9">
        <w:t>:</w:t>
      </w:r>
    </w:p>
    <w:p w:rsidR="001F3CC8" w:rsidRPr="00A630C9" w:rsidRDefault="001F3CC8" w:rsidP="001F3CC8">
      <w:pPr>
        <w:pStyle w:val="ListParagraph"/>
        <w:spacing w:after="0" w:line="276" w:lineRule="auto"/>
        <w:ind w:left="1276"/>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3267"/>
        <w:gridCol w:w="1134"/>
        <w:gridCol w:w="1411"/>
      </w:tblGrid>
      <w:tr w:rsidR="003C0F4D" w:rsidRPr="00DB578A" w:rsidTr="0058194C">
        <w:trPr>
          <w:trHeight w:val="315"/>
        </w:trPr>
        <w:tc>
          <w:tcPr>
            <w:tcW w:w="1701" w:type="dxa"/>
            <w:shd w:val="clear" w:color="000000" w:fill="00509A"/>
            <w:vAlign w:val="center"/>
            <w:hideMark/>
          </w:tcPr>
          <w:p w:rsidR="003C0F4D" w:rsidRPr="00AB1B46" w:rsidRDefault="004B08F2" w:rsidP="003C0F4D">
            <w:pPr>
              <w:spacing w:after="0"/>
              <w:ind w:left="-1"/>
              <w:rPr>
                <w:color w:val="FFFFFF" w:themeColor="background1"/>
              </w:rPr>
            </w:pPr>
            <w:hyperlink r:id="rId8" w:tooltip="Sort" w:history="1">
              <w:r w:rsidR="003C0F4D" w:rsidRPr="00AB1B46">
                <w:rPr>
                  <w:color w:val="FFFFFF" w:themeColor="background1"/>
                </w:rPr>
                <w:t>Reference No.</w:t>
              </w:r>
            </w:hyperlink>
          </w:p>
        </w:tc>
        <w:tc>
          <w:tcPr>
            <w:tcW w:w="2268" w:type="dxa"/>
            <w:shd w:val="clear" w:color="000000" w:fill="00509A"/>
            <w:vAlign w:val="center"/>
            <w:hideMark/>
          </w:tcPr>
          <w:p w:rsidR="003C0F4D" w:rsidRPr="00AB1B46" w:rsidRDefault="004B08F2" w:rsidP="003C0F4D">
            <w:pPr>
              <w:spacing w:after="0"/>
              <w:ind w:left="-1"/>
              <w:rPr>
                <w:color w:val="FFFFFF" w:themeColor="background1"/>
              </w:rPr>
            </w:pPr>
            <w:hyperlink r:id="rId9" w:tooltip="Sort" w:history="1">
              <w:r w:rsidR="003C0F4D" w:rsidRPr="00AB1B46">
                <w:rPr>
                  <w:color w:val="FFFFFF" w:themeColor="background1"/>
                </w:rPr>
                <w:t>Location</w:t>
              </w:r>
            </w:hyperlink>
          </w:p>
        </w:tc>
        <w:tc>
          <w:tcPr>
            <w:tcW w:w="3267" w:type="dxa"/>
            <w:shd w:val="clear" w:color="000000" w:fill="00509A"/>
            <w:vAlign w:val="center"/>
            <w:hideMark/>
          </w:tcPr>
          <w:p w:rsidR="003C0F4D" w:rsidRPr="00AB1B46" w:rsidRDefault="004B08F2" w:rsidP="003C0F4D">
            <w:pPr>
              <w:spacing w:after="0"/>
              <w:ind w:left="-1"/>
              <w:rPr>
                <w:color w:val="FFFFFF" w:themeColor="background1"/>
              </w:rPr>
            </w:pPr>
            <w:hyperlink r:id="rId10" w:tooltip="Sort" w:history="1">
              <w:r w:rsidR="003C0F4D" w:rsidRPr="00AB1B46">
                <w:rPr>
                  <w:color w:val="FFFFFF" w:themeColor="background1"/>
                </w:rPr>
                <w:t>Proposal/ Description</w:t>
              </w:r>
            </w:hyperlink>
          </w:p>
        </w:tc>
        <w:tc>
          <w:tcPr>
            <w:tcW w:w="1134" w:type="dxa"/>
            <w:shd w:val="clear" w:color="000000" w:fill="00509A"/>
            <w:vAlign w:val="center"/>
            <w:hideMark/>
          </w:tcPr>
          <w:p w:rsidR="003C0F4D" w:rsidRPr="00AB1B46" w:rsidRDefault="004B08F2" w:rsidP="003C0F4D">
            <w:pPr>
              <w:spacing w:after="0"/>
              <w:ind w:left="-1"/>
              <w:rPr>
                <w:color w:val="FFFFFF" w:themeColor="background1"/>
              </w:rPr>
            </w:pPr>
            <w:hyperlink r:id="rId11" w:tooltip="Sort" w:history="1">
              <w:r w:rsidR="003C0F4D" w:rsidRPr="00AB1B46">
                <w:rPr>
                  <w:color w:val="FFFFFF" w:themeColor="background1"/>
                </w:rPr>
                <w:t>Validated</w:t>
              </w:r>
            </w:hyperlink>
          </w:p>
        </w:tc>
        <w:tc>
          <w:tcPr>
            <w:tcW w:w="1411" w:type="dxa"/>
            <w:shd w:val="clear" w:color="000000" w:fill="00509A"/>
            <w:vAlign w:val="center"/>
            <w:hideMark/>
          </w:tcPr>
          <w:p w:rsidR="003C0F4D" w:rsidRPr="00AB1B46" w:rsidRDefault="004B08F2" w:rsidP="003C0F4D">
            <w:pPr>
              <w:spacing w:after="0"/>
              <w:ind w:left="-1"/>
              <w:rPr>
                <w:color w:val="FFFFFF" w:themeColor="background1"/>
              </w:rPr>
            </w:pPr>
            <w:hyperlink r:id="rId12" w:tooltip="Sort" w:history="1">
              <w:r w:rsidR="003C0F4D" w:rsidRPr="00AB1B46">
                <w:rPr>
                  <w:color w:val="FFFFFF" w:themeColor="background1"/>
                </w:rPr>
                <w:t>Status</w:t>
              </w:r>
            </w:hyperlink>
          </w:p>
        </w:tc>
      </w:tr>
      <w:tr w:rsidR="003C0F4D" w:rsidRPr="00DB578A" w:rsidTr="0058194C">
        <w:trPr>
          <w:trHeight w:val="1140"/>
        </w:trPr>
        <w:tc>
          <w:tcPr>
            <w:tcW w:w="1701" w:type="dxa"/>
            <w:shd w:val="clear" w:color="000000" w:fill="FFFFFF"/>
            <w:hideMark/>
          </w:tcPr>
          <w:p w:rsidR="003C0F4D" w:rsidRPr="00B836E0" w:rsidRDefault="004B08F2" w:rsidP="003C0F4D">
            <w:pPr>
              <w:spacing w:after="0"/>
              <w:ind w:left="-1"/>
            </w:pPr>
            <w:hyperlink r:id="rId13" w:history="1">
              <w:r w:rsidR="003C0F4D" w:rsidRPr="00B836E0">
                <w:t>21/00269/TCA</w:t>
              </w:r>
            </w:hyperlink>
          </w:p>
        </w:tc>
        <w:tc>
          <w:tcPr>
            <w:tcW w:w="2268" w:type="dxa"/>
            <w:shd w:val="clear" w:color="000000" w:fill="FFFFFF"/>
            <w:hideMark/>
          </w:tcPr>
          <w:p w:rsidR="003C0F4D" w:rsidRPr="00B836E0" w:rsidRDefault="003C0F4D" w:rsidP="003C0F4D">
            <w:pPr>
              <w:spacing w:after="0"/>
              <w:ind w:left="-1"/>
            </w:pPr>
            <w:r w:rsidRPr="00B836E0">
              <w:t xml:space="preserve">St John The Baptist Church </w:t>
            </w:r>
            <w:proofErr w:type="spellStart"/>
            <w:r w:rsidRPr="00B836E0">
              <w:t>Church</w:t>
            </w:r>
            <w:proofErr w:type="spellEnd"/>
            <w:r w:rsidRPr="00B836E0">
              <w:t xml:space="preserve"> Lane Hornton OX15 6BY</w:t>
            </w:r>
          </w:p>
        </w:tc>
        <w:tc>
          <w:tcPr>
            <w:tcW w:w="3267" w:type="dxa"/>
            <w:shd w:val="clear" w:color="000000" w:fill="FFFFFF"/>
            <w:hideMark/>
          </w:tcPr>
          <w:p w:rsidR="003C0F4D" w:rsidRPr="00B836E0" w:rsidRDefault="003C0F4D" w:rsidP="003C0F4D">
            <w:pPr>
              <w:spacing w:after="0"/>
              <w:ind w:left="-1"/>
            </w:pPr>
            <w:r w:rsidRPr="00B836E0">
              <w:t xml:space="preserve">T1 Norway Spruce. </w:t>
            </w:r>
          </w:p>
          <w:p w:rsidR="003C0F4D" w:rsidRPr="00B836E0" w:rsidRDefault="003C0F4D" w:rsidP="003C0F4D">
            <w:pPr>
              <w:spacing w:after="0"/>
              <w:ind w:left="-1"/>
            </w:pPr>
            <w:r w:rsidRPr="00B836E0">
              <w:t>T2 Yew.</w:t>
            </w:r>
          </w:p>
          <w:p w:rsidR="003C0F4D" w:rsidRPr="00B836E0" w:rsidRDefault="003C0F4D" w:rsidP="003C0F4D">
            <w:pPr>
              <w:spacing w:after="0"/>
              <w:ind w:left="-1"/>
            </w:pPr>
            <w:r w:rsidRPr="00B836E0">
              <w:t xml:space="preserve">T3 Holly. </w:t>
            </w:r>
          </w:p>
          <w:p w:rsidR="003C0F4D" w:rsidRPr="00B836E0" w:rsidRDefault="003C0F4D" w:rsidP="003C0F4D">
            <w:pPr>
              <w:spacing w:after="0"/>
              <w:ind w:left="-1"/>
            </w:pPr>
            <w:r w:rsidRPr="00B836E0">
              <w:t xml:space="preserve">T4 Blue Cedar. </w:t>
            </w:r>
          </w:p>
        </w:tc>
        <w:tc>
          <w:tcPr>
            <w:tcW w:w="1134" w:type="dxa"/>
            <w:shd w:val="clear" w:color="000000" w:fill="FFFFFF"/>
            <w:hideMark/>
          </w:tcPr>
          <w:p w:rsidR="003C0F4D" w:rsidRPr="00B836E0" w:rsidRDefault="003C0F4D" w:rsidP="003C0F4D">
            <w:pPr>
              <w:spacing w:after="0"/>
              <w:ind w:left="-1"/>
            </w:pPr>
            <w:r>
              <w:t>27/01/</w:t>
            </w:r>
            <w:r w:rsidRPr="00B836E0">
              <w:t>21</w:t>
            </w:r>
          </w:p>
        </w:tc>
        <w:tc>
          <w:tcPr>
            <w:tcW w:w="1411" w:type="dxa"/>
            <w:shd w:val="clear" w:color="000000" w:fill="FFFFFF"/>
            <w:hideMark/>
          </w:tcPr>
          <w:p w:rsidR="003C0F4D" w:rsidRPr="00B836E0" w:rsidRDefault="003C0F4D" w:rsidP="003C0F4D">
            <w:pPr>
              <w:spacing w:after="0"/>
              <w:ind w:left="-1"/>
            </w:pPr>
            <w:r w:rsidRPr="00B836E0">
              <w:t>Case Officer Assigned</w:t>
            </w:r>
          </w:p>
        </w:tc>
      </w:tr>
      <w:tr w:rsidR="003C0F4D" w:rsidRPr="00DB578A" w:rsidTr="0058194C">
        <w:trPr>
          <w:trHeight w:val="1140"/>
        </w:trPr>
        <w:tc>
          <w:tcPr>
            <w:tcW w:w="1701" w:type="dxa"/>
            <w:shd w:val="clear" w:color="000000" w:fill="FFFFFF"/>
            <w:hideMark/>
          </w:tcPr>
          <w:p w:rsidR="003C0F4D" w:rsidRPr="00B836E0" w:rsidRDefault="004B08F2" w:rsidP="003C0F4D">
            <w:pPr>
              <w:spacing w:after="0"/>
              <w:ind w:left="-1"/>
            </w:pPr>
            <w:hyperlink r:id="rId14" w:history="1">
              <w:r w:rsidR="003C0F4D" w:rsidRPr="00B836E0">
                <w:t>21/00164/TCA</w:t>
              </w:r>
            </w:hyperlink>
          </w:p>
        </w:tc>
        <w:tc>
          <w:tcPr>
            <w:tcW w:w="2268" w:type="dxa"/>
            <w:shd w:val="clear" w:color="000000" w:fill="FFFFFF"/>
            <w:hideMark/>
          </w:tcPr>
          <w:p w:rsidR="003C0F4D" w:rsidRPr="00B836E0" w:rsidRDefault="003C0F4D" w:rsidP="003C0F4D">
            <w:pPr>
              <w:spacing w:after="0"/>
              <w:ind w:left="-1"/>
            </w:pPr>
            <w:r w:rsidRPr="00B836E0">
              <w:t>Greenhaven Pages Lane Hornton OX15 6BX</w:t>
            </w:r>
          </w:p>
        </w:tc>
        <w:tc>
          <w:tcPr>
            <w:tcW w:w="3267" w:type="dxa"/>
            <w:shd w:val="clear" w:color="000000" w:fill="FFFFFF"/>
            <w:hideMark/>
          </w:tcPr>
          <w:p w:rsidR="003C0F4D" w:rsidRPr="00B836E0" w:rsidRDefault="003C0F4D" w:rsidP="003C0F4D">
            <w:pPr>
              <w:spacing w:after="0"/>
              <w:ind w:left="-1"/>
            </w:pPr>
            <w:r w:rsidRPr="00B836E0">
              <w:t>G1 x Various - Re-reduce fruit trees back to previous. T1 x Pear - Re-reduce back to previous.</w:t>
            </w:r>
          </w:p>
        </w:tc>
        <w:tc>
          <w:tcPr>
            <w:tcW w:w="1134" w:type="dxa"/>
            <w:shd w:val="clear" w:color="000000" w:fill="FFFFFF"/>
            <w:hideMark/>
          </w:tcPr>
          <w:p w:rsidR="003C0F4D" w:rsidRPr="00B836E0" w:rsidRDefault="003C0F4D" w:rsidP="003C0F4D">
            <w:pPr>
              <w:spacing w:after="0"/>
              <w:ind w:left="-1"/>
            </w:pPr>
            <w:r>
              <w:t>19/01/</w:t>
            </w:r>
            <w:r w:rsidRPr="00B836E0">
              <w:t>21</w:t>
            </w:r>
          </w:p>
        </w:tc>
        <w:tc>
          <w:tcPr>
            <w:tcW w:w="1411" w:type="dxa"/>
            <w:shd w:val="clear" w:color="000000" w:fill="FFFFFF"/>
            <w:hideMark/>
          </w:tcPr>
          <w:p w:rsidR="003C0F4D" w:rsidRPr="00B836E0" w:rsidRDefault="003C0F4D" w:rsidP="003C0F4D">
            <w:pPr>
              <w:spacing w:after="0"/>
              <w:ind w:left="-1"/>
            </w:pPr>
            <w:r w:rsidRPr="00B836E0">
              <w:t>Case Officer Assigned</w:t>
            </w:r>
          </w:p>
        </w:tc>
      </w:tr>
    </w:tbl>
    <w:p w:rsidR="003C0F4D" w:rsidRDefault="003C0F4D" w:rsidP="003C0F4D">
      <w:pPr>
        <w:spacing w:after="0"/>
        <w:rPr>
          <w:shd w:val="clear" w:color="auto" w:fill="FFFFFF"/>
        </w:rPr>
      </w:pPr>
    </w:p>
    <w:p w:rsidR="00BB4747" w:rsidRDefault="00BB4747" w:rsidP="00BB4747">
      <w:pPr>
        <w:spacing w:after="0"/>
        <w:ind w:left="0" w:firstLine="720"/>
        <w:rPr>
          <w:shd w:val="clear" w:color="auto" w:fill="FFFFFF"/>
        </w:rPr>
      </w:pPr>
      <w:r>
        <w:rPr>
          <w:shd w:val="clear" w:color="auto" w:fill="FFFFFF"/>
        </w:rPr>
        <w:t>No objections were raised by the Council.</w:t>
      </w:r>
    </w:p>
    <w:p w:rsidR="00BB4747" w:rsidRPr="00A630C9" w:rsidRDefault="00BB4747" w:rsidP="003C0F4D">
      <w:pPr>
        <w:spacing w:after="0"/>
        <w:rPr>
          <w:shd w:val="clear" w:color="auto" w:fill="FFFFFF"/>
        </w:rPr>
      </w:pPr>
    </w:p>
    <w:p w:rsidR="003C0F4D" w:rsidRPr="00A630C9" w:rsidRDefault="003C0F4D" w:rsidP="00BB4747">
      <w:pPr>
        <w:pStyle w:val="ListParagraph"/>
        <w:numPr>
          <w:ilvl w:val="1"/>
          <w:numId w:val="2"/>
        </w:numPr>
        <w:spacing w:after="200" w:line="276" w:lineRule="auto"/>
      </w:pPr>
      <w:r w:rsidRPr="00A630C9">
        <w:t>Under Consultation - Cherwell District Council:</w:t>
      </w:r>
    </w:p>
    <w:tbl>
      <w:tblPr>
        <w:tblW w:w="98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2126"/>
        <w:gridCol w:w="3260"/>
        <w:gridCol w:w="1134"/>
        <w:gridCol w:w="1559"/>
      </w:tblGrid>
      <w:tr w:rsidR="003C0F4D" w:rsidRPr="00DB578A" w:rsidTr="0058194C">
        <w:trPr>
          <w:trHeight w:val="315"/>
        </w:trPr>
        <w:tc>
          <w:tcPr>
            <w:tcW w:w="1745" w:type="dxa"/>
            <w:shd w:val="clear" w:color="000000" w:fill="00509A"/>
            <w:vAlign w:val="center"/>
            <w:hideMark/>
          </w:tcPr>
          <w:p w:rsidR="003C0F4D" w:rsidRPr="00AB1B46" w:rsidRDefault="004B08F2" w:rsidP="0058194C">
            <w:pPr>
              <w:spacing w:after="0"/>
              <w:ind w:left="-1"/>
              <w:rPr>
                <w:color w:val="FFFFFF" w:themeColor="background1"/>
              </w:rPr>
            </w:pPr>
            <w:hyperlink r:id="rId15" w:tooltip="Sort" w:history="1">
              <w:r w:rsidR="003C0F4D" w:rsidRPr="00AB1B46">
                <w:rPr>
                  <w:color w:val="FFFFFF" w:themeColor="background1"/>
                </w:rPr>
                <w:t>Reference No.</w:t>
              </w:r>
            </w:hyperlink>
          </w:p>
        </w:tc>
        <w:tc>
          <w:tcPr>
            <w:tcW w:w="2126" w:type="dxa"/>
            <w:shd w:val="clear" w:color="000000" w:fill="00509A"/>
            <w:vAlign w:val="center"/>
            <w:hideMark/>
          </w:tcPr>
          <w:p w:rsidR="003C0F4D" w:rsidRPr="00AB1B46" w:rsidRDefault="004B08F2" w:rsidP="0058194C">
            <w:pPr>
              <w:spacing w:after="0"/>
              <w:ind w:left="-1" w:hanging="34"/>
              <w:rPr>
                <w:color w:val="FFFFFF" w:themeColor="background1"/>
              </w:rPr>
            </w:pPr>
            <w:hyperlink r:id="rId16" w:tooltip="Sort" w:history="1">
              <w:r w:rsidR="003C0F4D" w:rsidRPr="00AB1B46">
                <w:rPr>
                  <w:color w:val="FFFFFF" w:themeColor="background1"/>
                </w:rPr>
                <w:t>Location</w:t>
              </w:r>
            </w:hyperlink>
          </w:p>
        </w:tc>
        <w:tc>
          <w:tcPr>
            <w:tcW w:w="3260" w:type="dxa"/>
            <w:shd w:val="clear" w:color="000000" w:fill="00509A"/>
            <w:vAlign w:val="center"/>
            <w:hideMark/>
          </w:tcPr>
          <w:p w:rsidR="003C0F4D" w:rsidRPr="00AB1B46" w:rsidRDefault="004B08F2" w:rsidP="0058194C">
            <w:pPr>
              <w:spacing w:after="0"/>
              <w:ind w:left="-1"/>
              <w:rPr>
                <w:color w:val="FFFFFF" w:themeColor="background1"/>
              </w:rPr>
            </w:pPr>
            <w:hyperlink r:id="rId17" w:tooltip="Sort" w:history="1">
              <w:r w:rsidR="003C0F4D" w:rsidRPr="00AB1B46">
                <w:rPr>
                  <w:color w:val="FFFFFF" w:themeColor="background1"/>
                </w:rPr>
                <w:t>Proposal/ Description</w:t>
              </w:r>
            </w:hyperlink>
          </w:p>
        </w:tc>
        <w:tc>
          <w:tcPr>
            <w:tcW w:w="1134" w:type="dxa"/>
            <w:shd w:val="clear" w:color="000000" w:fill="00509A"/>
            <w:vAlign w:val="center"/>
            <w:hideMark/>
          </w:tcPr>
          <w:p w:rsidR="003C0F4D" w:rsidRPr="00AB1B46" w:rsidRDefault="004B08F2" w:rsidP="0058194C">
            <w:pPr>
              <w:spacing w:after="0"/>
              <w:ind w:left="-1"/>
              <w:rPr>
                <w:color w:val="FFFFFF" w:themeColor="background1"/>
              </w:rPr>
            </w:pPr>
            <w:hyperlink r:id="rId18" w:tooltip="Sort" w:history="1">
              <w:r w:rsidR="003C0F4D" w:rsidRPr="00AB1B46">
                <w:rPr>
                  <w:color w:val="FFFFFF" w:themeColor="background1"/>
                </w:rPr>
                <w:t>Validated</w:t>
              </w:r>
            </w:hyperlink>
          </w:p>
        </w:tc>
        <w:tc>
          <w:tcPr>
            <w:tcW w:w="1559" w:type="dxa"/>
            <w:shd w:val="clear" w:color="000000" w:fill="00509A"/>
            <w:vAlign w:val="center"/>
            <w:hideMark/>
          </w:tcPr>
          <w:p w:rsidR="003C0F4D" w:rsidRPr="00AB1B46" w:rsidRDefault="004B08F2" w:rsidP="0058194C">
            <w:pPr>
              <w:spacing w:after="0"/>
              <w:ind w:left="-1"/>
              <w:rPr>
                <w:color w:val="FFFFFF" w:themeColor="background1"/>
              </w:rPr>
            </w:pPr>
            <w:hyperlink r:id="rId19" w:tooltip="Sort" w:history="1">
              <w:r w:rsidR="003C0F4D" w:rsidRPr="00AB1B46">
                <w:rPr>
                  <w:color w:val="FFFFFF" w:themeColor="background1"/>
                </w:rPr>
                <w:t>Status</w:t>
              </w:r>
            </w:hyperlink>
          </w:p>
        </w:tc>
      </w:tr>
      <w:tr w:rsidR="003C0F4D" w:rsidRPr="00DB578A" w:rsidTr="0058194C">
        <w:trPr>
          <w:trHeight w:val="898"/>
        </w:trPr>
        <w:tc>
          <w:tcPr>
            <w:tcW w:w="1745" w:type="dxa"/>
            <w:shd w:val="clear" w:color="000000" w:fill="FFFFFF"/>
            <w:hideMark/>
          </w:tcPr>
          <w:p w:rsidR="003C0F4D" w:rsidRPr="00B836E0" w:rsidRDefault="004B08F2" w:rsidP="0058194C">
            <w:pPr>
              <w:spacing w:after="0"/>
              <w:ind w:left="-1"/>
            </w:pPr>
            <w:hyperlink r:id="rId20" w:history="1">
              <w:r w:rsidR="003C0F4D" w:rsidRPr="00B836E0">
                <w:t>20/02460/F</w:t>
              </w:r>
            </w:hyperlink>
          </w:p>
        </w:tc>
        <w:tc>
          <w:tcPr>
            <w:tcW w:w="2126" w:type="dxa"/>
            <w:shd w:val="clear" w:color="000000" w:fill="FFFFFF"/>
            <w:hideMark/>
          </w:tcPr>
          <w:p w:rsidR="003C0F4D" w:rsidRPr="00B836E0" w:rsidRDefault="003C0F4D" w:rsidP="0058194C">
            <w:pPr>
              <w:spacing w:after="0"/>
              <w:ind w:left="-1"/>
            </w:pPr>
            <w:r w:rsidRPr="00B836E0">
              <w:t xml:space="preserve">Old Poplars Farmhouse </w:t>
            </w:r>
            <w:proofErr w:type="spellStart"/>
            <w:r w:rsidRPr="00B836E0">
              <w:t>Eastgate</w:t>
            </w:r>
            <w:proofErr w:type="spellEnd"/>
            <w:r w:rsidRPr="00B836E0">
              <w:t xml:space="preserve"> Hornton OX15 6BT</w:t>
            </w:r>
          </w:p>
        </w:tc>
        <w:tc>
          <w:tcPr>
            <w:tcW w:w="3260" w:type="dxa"/>
            <w:shd w:val="clear" w:color="000000" w:fill="FFFFFF"/>
            <w:hideMark/>
          </w:tcPr>
          <w:p w:rsidR="003C0F4D" w:rsidRPr="00B836E0" w:rsidRDefault="003C0F4D" w:rsidP="0058194C">
            <w:pPr>
              <w:spacing w:after="0"/>
              <w:ind w:left="-1"/>
            </w:pPr>
            <w:r w:rsidRPr="00B836E0">
              <w:t>Erection of a stable / field shelter in top field</w:t>
            </w:r>
          </w:p>
        </w:tc>
        <w:tc>
          <w:tcPr>
            <w:tcW w:w="1134" w:type="dxa"/>
            <w:shd w:val="clear" w:color="000000" w:fill="FFFFFF"/>
            <w:hideMark/>
          </w:tcPr>
          <w:p w:rsidR="003C0F4D" w:rsidRPr="00B836E0" w:rsidRDefault="003C0F4D" w:rsidP="0058194C">
            <w:pPr>
              <w:spacing w:after="0"/>
              <w:ind w:left="-1"/>
            </w:pPr>
            <w:r w:rsidRPr="00B836E0">
              <w:t>13/11/20</w:t>
            </w:r>
          </w:p>
        </w:tc>
        <w:tc>
          <w:tcPr>
            <w:tcW w:w="1559" w:type="dxa"/>
            <w:shd w:val="clear" w:color="000000" w:fill="FFFFFF"/>
            <w:hideMark/>
          </w:tcPr>
          <w:p w:rsidR="003C0F4D" w:rsidRPr="00B836E0" w:rsidRDefault="003C0F4D" w:rsidP="0058194C">
            <w:pPr>
              <w:spacing w:after="0"/>
              <w:ind w:left="-1"/>
            </w:pPr>
            <w:r w:rsidRPr="00B836E0">
              <w:t>Under Consultation</w:t>
            </w:r>
          </w:p>
        </w:tc>
      </w:tr>
      <w:tr w:rsidR="003C0F4D" w:rsidRPr="00DB578A" w:rsidTr="0058194C">
        <w:trPr>
          <w:trHeight w:val="898"/>
        </w:trPr>
        <w:tc>
          <w:tcPr>
            <w:tcW w:w="1745" w:type="dxa"/>
            <w:shd w:val="clear" w:color="000000" w:fill="FFFFFF"/>
            <w:hideMark/>
          </w:tcPr>
          <w:p w:rsidR="003C0F4D" w:rsidRPr="00B836E0" w:rsidRDefault="004B08F2" w:rsidP="0058194C">
            <w:pPr>
              <w:spacing w:after="0"/>
              <w:ind w:left="-1"/>
            </w:pPr>
            <w:hyperlink r:id="rId21" w:history="1">
              <w:r w:rsidR="003C0F4D" w:rsidRPr="00B836E0">
                <w:t>20/03489/TCA</w:t>
              </w:r>
            </w:hyperlink>
          </w:p>
        </w:tc>
        <w:tc>
          <w:tcPr>
            <w:tcW w:w="2126" w:type="dxa"/>
            <w:shd w:val="clear" w:color="000000" w:fill="FFFFFF"/>
            <w:hideMark/>
          </w:tcPr>
          <w:p w:rsidR="003C0F4D" w:rsidRPr="00B836E0" w:rsidRDefault="003C0F4D" w:rsidP="0058194C">
            <w:pPr>
              <w:spacing w:after="0"/>
              <w:ind w:left="-1"/>
            </w:pPr>
            <w:r w:rsidRPr="00B836E0">
              <w:t>The Old Coach House West End Hornton OX15 6DA</w:t>
            </w:r>
          </w:p>
        </w:tc>
        <w:tc>
          <w:tcPr>
            <w:tcW w:w="3260" w:type="dxa"/>
            <w:shd w:val="clear" w:color="000000" w:fill="FFFFFF"/>
            <w:hideMark/>
          </w:tcPr>
          <w:p w:rsidR="003C0F4D" w:rsidRPr="00B836E0" w:rsidRDefault="003C0F4D" w:rsidP="0058194C">
            <w:pPr>
              <w:spacing w:after="0"/>
              <w:ind w:left="-1"/>
            </w:pPr>
            <w:r w:rsidRPr="00B836E0">
              <w:t>T1 x split Willow - Requires pollarding as close to power lines.</w:t>
            </w:r>
          </w:p>
        </w:tc>
        <w:tc>
          <w:tcPr>
            <w:tcW w:w="1134" w:type="dxa"/>
            <w:shd w:val="clear" w:color="000000" w:fill="FFFFFF"/>
            <w:hideMark/>
          </w:tcPr>
          <w:p w:rsidR="003C0F4D" w:rsidRPr="00B836E0" w:rsidRDefault="003C0F4D" w:rsidP="0058194C">
            <w:pPr>
              <w:spacing w:after="0"/>
              <w:ind w:left="-1"/>
            </w:pPr>
            <w:r w:rsidRPr="00B836E0">
              <w:t>12/11/20</w:t>
            </w:r>
          </w:p>
        </w:tc>
        <w:tc>
          <w:tcPr>
            <w:tcW w:w="1559" w:type="dxa"/>
            <w:shd w:val="clear" w:color="000000" w:fill="FFFFFF"/>
            <w:hideMark/>
          </w:tcPr>
          <w:p w:rsidR="003C0F4D" w:rsidRPr="00B836E0" w:rsidRDefault="003C0F4D" w:rsidP="0058194C">
            <w:pPr>
              <w:spacing w:after="0"/>
              <w:ind w:left="-1"/>
            </w:pPr>
            <w:r w:rsidRPr="00B836E0">
              <w:t>Under Consultation</w:t>
            </w:r>
          </w:p>
        </w:tc>
      </w:tr>
      <w:tr w:rsidR="003C0F4D" w:rsidRPr="00DB578A" w:rsidTr="0058194C">
        <w:trPr>
          <w:trHeight w:val="898"/>
        </w:trPr>
        <w:tc>
          <w:tcPr>
            <w:tcW w:w="1745" w:type="dxa"/>
            <w:shd w:val="clear" w:color="000000" w:fill="FFFFFF"/>
            <w:hideMark/>
          </w:tcPr>
          <w:p w:rsidR="003C0F4D" w:rsidRPr="00B836E0" w:rsidRDefault="004B08F2" w:rsidP="0058194C">
            <w:pPr>
              <w:spacing w:after="0"/>
              <w:ind w:left="-1"/>
            </w:pPr>
            <w:hyperlink r:id="rId22" w:history="1">
              <w:r w:rsidR="003C0F4D" w:rsidRPr="00B836E0">
                <w:t>20/02850/F</w:t>
              </w:r>
            </w:hyperlink>
          </w:p>
        </w:tc>
        <w:tc>
          <w:tcPr>
            <w:tcW w:w="2126" w:type="dxa"/>
            <w:shd w:val="clear" w:color="000000" w:fill="FFFFFF"/>
            <w:hideMark/>
          </w:tcPr>
          <w:p w:rsidR="0058194C" w:rsidRDefault="003C0F4D" w:rsidP="0058194C">
            <w:pPr>
              <w:spacing w:after="0"/>
              <w:ind w:left="-1"/>
            </w:pPr>
            <w:r w:rsidRPr="00B836E0">
              <w:t xml:space="preserve">Foxgloves </w:t>
            </w:r>
          </w:p>
          <w:p w:rsidR="003C0F4D" w:rsidRPr="00B836E0" w:rsidRDefault="003C0F4D" w:rsidP="0058194C">
            <w:pPr>
              <w:spacing w:after="0"/>
              <w:ind w:left="-1"/>
            </w:pPr>
            <w:r w:rsidRPr="00B836E0">
              <w:t>Millers Lane Hornton Banbury OX15 6BS</w:t>
            </w:r>
          </w:p>
        </w:tc>
        <w:tc>
          <w:tcPr>
            <w:tcW w:w="3260" w:type="dxa"/>
            <w:shd w:val="clear" w:color="000000" w:fill="FFFFFF"/>
            <w:hideMark/>
          </w:tcPr>
          <w:p w:rsidR="003C0F4D" w:rsidRPr="00B836E0" w:rsidRDefault="003C0F4D" w:rsidP="0058194C">
            <w:pPr>
              <w:spacing w:after="0"/>
              <w:ind w:left="-1"/>
            </w:pPr>
            <w:r w:rsidRPr="00B836E0">
              <w:t>Widening of the means of access, formation of additional hardstanding to provide increased parking area, felling of two trees and rebuilding of natural stone faced retaining wall</w:t>
            </w:r>
          </w:p>
        </w:tc>
        <w:tc>
          <w:tcPr>
            <w:tcW w:w="1134" w:type="dxa"/>
            <w:shd w:val="clear" w:color="000000" w:fill="FFFFFF"/>
            <w:hideMark/>
          </w:tcPr>
          <w:p w:rsidR="003C0F4D" w:rsidRPr="00B836E0" w:rsidRDefault="003C0F4D" w:rsidP="0058194C">
            <w:pPr>
              <w:spacing w:after="0"/>
              <w:ind w:left="-1"/>
            </w:pPr>
            <w:r w:rsidRPr="00B836E0">
              <w:t>12/10/20</w:t>
            </w:r>
          </w:p>
        </w:tc>
        <w:tc>
          <w:tcPr>
            <w:tcW w:w="1559" w:type="dxa"/>
            <w:shd w:val="clear" w:color="000000" w:fill="FFFFFF"/>
            <w:hideMark/>
          </w:tcPr>
          <w:p w:rsidR="003C0F4D" w:rsidRPr="00B836E0" w:rsidRDefault="003C0F4D" w:rsidP="0058194C">
            <w:pPr>
              <w:spacing w:after="0"/>
              <w:ind w:left="-1"/>
            </w:pPr>
            <w:r w:rsidRPr="00B836E0">
              <w:t>Under Consultation</w:t>
            </w:r>
          </w:p>
        </w:tc>
      </w:tr>
    </w:tbl>
    <w:p w:rsidR="003C0F4D" w:rsidRPr="00A630C9" w:rsidRDefault="003C0F4D" w:rsidP="003C0F4D">
      <w:pPr>
        <w:spacing w:after="0"/>
      </w:pPr>
    </w:p>
    <w:p w:rsidR="003C0F4D" w:rsidRPr="00A630C9" w:rsidRDefault="003C0F4D" w:rsidP="00054CFD">
      <w:pPr>
        <w:pStyle w:val="ListParagraph"/>
        <w:numPr>
          <w:ilvl w:val="1"/>
          <w:numId w:val="2"/>
        </w:numPr>
        <w:spacing w:after="200" w:line="276" w:lineRule="auto"/>
        <w:ind w:left="1276"/>
      </w:pPr>
      <w:r w:rsidRPr="00A630C9">
        <w:t>Application refused:</w:t>
      </w:r>
    </w:p>
    <w:tbl>
      <w:tblPr>
        <w:tblW w:w="985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903"/>
        <w:gridCol w:w="3484"/>
        <w:gridCol w:w="1134"/>
        <w:gridCol w:w="1619"/>
      </w:tblGrid>
      <w:tr w:rsidR="003C0F4D" w:rsidRPr="00DB578A" w:rsidTr="00A630C9">
        <w:trPr>
          <w:trHeight w:val="315"/>
        </w:trPr>
        <w:tc>
          <w:tcPr>
            <w:tcW w:w="1716" w:type="dxa"/>
            <w:shd w:val="clear" w:color="000000" w:fill="00509A"/>
            <w:vAlign w:val="center"/>
            <w:hideMark/>
          </w:tcPr>
          <w:p w:rsidR="003C0F4D" w:rsidRPr="00AB1B46" w:rsidRDefault="004B08F2" w:rsidP="0058194C">
            <w:pPr>
              <w:spacing w:after="0"/>
              <w:ind w:left="-1"/>
              <w:rPr>
                <w:color w:val="FFFFFF" w:themeColor="background1"/>
              </w:rPr>
            </w:pPr>
            <w:hyperlink r:id="rId23" w:tooltip="Sort" w:history="1">
              <w:r w:rsidR="003C0F4D" w:rsidRPr="00AB1B46">
                <w:rPr>
                  <w:color w:val="FFFFFF" w:themeColor="background1"/>
                </w:rPr>
                <w:t>Reference No.</w:t>
              </w:r>
            </w:hyperlink>
          </w:p>
        </w:tc>
        <w:tc>
          <w:tcPr>
            <w:tcW w:w="1903" w:type="dxa"/>
            <w:shd w:val="clear" w:color="000000" w:fill="00509A"/>
            <w:vAlign w:val="center"/>
            <w:hideMark/>
          </w:tcPr>
          <w:p w:rsidR="003C0F4D" w:rsidRPr="00AB1B46" w:rsidRDefault="004B08F2" w:rsidP="0058194C">
            <w:pPr>
              <w:spacing w:after="0"/>
              <w:ind w:left="-1"/>
              <w:rPr>
                <w:color w:val="FFFFFF" w:themeColor="background1"/>
              </w:rPr>
            </w:pPr>
            <w:hyperlink r:id="rId24" w:tooltip="Sort" w:history="1">
              <w:r w:rsidR="003C0F4D" w:rsidRPr="00AB1B46">
                <w:rPr>
                  <w:color w:val="FFFFFF" w:themeColor="background1"/>
                </w:rPr>
                <w:t>Location</w:t>
              </w:r>
            </w:hyperlink>
          </w:p>
        </w:tc>
        <w:tc>
          <w:tcPr>
            <w:tcW w:w="3484" w:type="dxa"/>
            <w:shd w:val="clear" w:color="000000" w:fill="00509A"/>
            <w:vAlign w:val="center"/>
            <w:hideMark/>
          </w:tcPr>
          <w:p w:rsidR="003C0F4D" w:rsidRPr="00AB1B46" w:rsidRDefault="004B08F2" w:rsidP="0058194C">
            <w:pPr>
              <w:spacing w:after="0"/>
              <w:ind w:left="-1"/>
              <w:rPr>
                <w:color w:val="FFFFFF" w:themeColor="background1"/>
              </w:rPr>
            </w:pPr>
            <w:hyperlink r:id="rId25" w:tooltip="Sort" w:history="1">
              <w:r w:rsidR="003C0F4D" w:rsidRPr="00AB1B46">
                <w:rPr>
                  <w:color w:val="FFFFFF" w:themeColor="background1"/>
                </w:rPr>
                <w:t>Proposal/ Description</w:t>
              </w:r>
            </w:hyperlink>
          </w:p>
        </w:tc>
        <w:tc>
          <w:tcPr>
            <w:tcW w:w="1134" w:type="dxa"/>
            <w:shd w:val="clear" w:color="000000" w:fill="00509A"/>
            <w:vAlign w:val="center"/>
            <w:hideMark/>
          </w:tcPr>
          <w:p w:rsidR="003C0F4D" w:rsidRPr="00AB1B46" w:rsidRDefault="004B08F2" w:rsidP="0058194C">
            <w:pPr>
              <w:spacing w:after="0"/>
              <w:ind w:left="-1"/>
              <w:rPr>
                <w:color w:val="FFFFFF" w:themeColor="background1"/>
              </w:rPr>
            </w:pPr>
            <w:hyperlink r:id="rId26" w:tooltip="Sort" w:history="1">
              <w:r w:rsidR="003C0F4D" w:rsidRPr="00AB1B46">
                <w:rPr>
                  <w:color w:val="FFFFFF" w:themeColor="background1"/>
                </w:rPr>
                <w:t>Validated</w:t>
              </w:r>
            </w:hyperlink>
          </w:p>
        </w:tc>
        <w:tc>
          <w:tcPr>
            <w:tcW w:w="1619" w:type="dxa"/>
            <w:shd w:val="clear" w:color="000000" w:fill="00509A"/>
            <w:vAlign w:val="center"/>
            <w:hideMark/>
          </w:tcPr>
          <w:p w:rsidR="003C0F4D" w:rsidRPr="00AB1B46" w:rsidRDefault="004B08F2" w:rsidP="0058194C">
            <w:pPr>
              <w:spacing w:after="0"/>
              <w:ind w:left="-1"/>
              <w:rPr>
                <w:color w:val="FFFFFF" w:themeColor="background1"/>
              </w:rPr>
            </w:pPr>
            <w:hyperlink r:id="rId27" w:tooltip="Sort" w:history="1">
              <w:r w:rsidR="003C0F4D" w:rsidRPr="00AB1B46">
                <w:rPr>
                  <w:color w:val="FFFFFF" w:themeColor="background1"/>
                </w:rPr>
                <w:t>Status</w:t>
              </w:r>
            </w:hyperlink>
          </w:p>
        </w:tc>
      </w:tr>
      <w:tr w:rsidR="003C0F4D" w:rsidRPr="00DB578A" w:rsidTr="00A630C9">
        <w:trPr>
          <w:trHeight w:val="570"/>
        </w:trPr>
        <w:tc>
          <w:tcPr>
            <w:tcW w:w="1716" w:type="dxa"/>
            <w:shd w:val="clear" w:color="000000" w:fill="FFFFFF"/>
            <w:hideMark/>
          </w:tcPr>
          <w:p w:rsidR="003C0F4D" w:rsidRPr="0058194C" w:rsidRDefault="004B08F2" w:rsidP="0058194C">
            <w:pPr>
              <w:spacing w:after="0"/>
              <w:ind w:left="-1"/>
            </w:pPr>
            <w:hyperlink r:id="rId28" w:history="1">
              <w:r w:rsidR="003C0F4D" w:rsidRPr="003D4E3E">
                <w:t>20/02453/F</w:t>
              </w:r>
            </w:hyperlink>
          </w:p>
        </w:tc>
        <w:tc>
          <w:tcPr>
            <w:tcW w:w="1903" w:type="dxa"/>
            <w:shd w:val="clear" w:color="000000" w:fill="FFFFFF"/>
            <w:hideMark/>
          </w:tcPr>
          <w:p w:rsidR="003C0F4D" w:rsidRPr="0058194C" w:rsidRDefault="003C0F4D" w:rsidP="0058194C">
            <w:pPr>
              <w:spacing w:after="0"/>
              <w:ind w:left="-1"/>
            </w:pPr>
            <w:r w:rsidRPr="0058194C">
              <w:t>Hornton Grounds Quarry Hornton</w:t>
            </w:r>
          </w:p>
        </w:tc>
        <w:tc>
          <w:tcPr>
            <w:tcW w:w="3484" w:type="dxa"/>
            <w:shd w:val="clear" w:color="000000" w:fill="FFFFFF"/>
            <w:hideMark/>
          </w:tcPr>
          <w:p w:rsidR="003C0F4D" w:rsidRPr="0058194C" w:rsidRDefault="003C0F4D" w:rsidP="0058194C">
            <w:pPr>
              <w:spacing w:after="0"/>
              <w:ind w:left="-1"/>
            </w:pPr>
            <w:r w:rsidRPr="0058194C">
              <w:t>A fuel depot including ancillary offices, the installation of plant and hardstanding</w:t>
            </w:r>
          </w:p>
        </w:tc>
        <w:tc>
          <w:tcPr>
            <w:tcW w:w="1134" w:type="dxa"/>
            <w:shd w:val="clear" w:color="000000" w:fill="FFFFFF"/>
            <w:hideMark/>
          </w:tcPr>
          <w:p w:rsidR="003C0F4D" w:rsidRPr="0058194C" w:rsidRDefault="0058194C" w:rsidP="0058194C">
            <w:pPr>
              <w:spacing w:after="0"/>
              <w:ind w:left="-1"/>
            </w:pPr>
            <w:r>
              <w:t>08/09/</w:t>
            </w:r>
            <w:r w:rsidR="003C0F4D" w:rsidRPr="0058194C">
              <w:t>20</w:t>
            </w:r>
          </w:p>
        </w:tc>
        <w:tc>
          <w:tcPr>
            <w:tcW w:w="1619" w:type="dxa"/>
            <w:shd w:val="clear" w:color="000000" w:fill="FFFFFF"/>
            <w:hideMark/>
          </w:tcPr>
          <w:p w:rsidR="003C0F4D" w:rsidRPr="0058194C" w:rsidRDefault="003C0F4D" w:rsidP="0058194C">
            <w:pPr>
              <w:spacing w:after="0"/>
              <w:ind w:left="-1"/>
            </w:pPr>
            <w:r w:rsidRPr="0058194C">
              <w:t>Application Refused</w:t>
            </w:r>
          </w:p>
        </w:tc>
      </w:tr>
    </w:tbl>
    <w:p w:rsidR="003C0F4D" w:rsidRDefault="003C0F4D" w:rsidP="003C0F4D">
      <w:pPr>
        <w:pStyle w:val="ListParagraph"/>
      </w:pPr>
    </w:p>
    <w:p w:rsidR="009C3A3C" w:rsidRDefault="009C3A3C" w:rsidP="003C0F4D">
      <w:pPr>
        <w:pStyle w:val="ListParagraph"/>
      </w:pPr>
    </w:p>
    <w:p w:rsidR="009C3A3C" w:rsidRDefault="009C3A3C" w:rsidP="003C0F4D">
      <w:pPr>
        <w:pStyle w:val="ListParagraph"/>
      </w:pPr>
    </w:p>
    <w:p w:rsidR="009C3A3C" w:rsidRDefault="009C3A3C" w:rsidP="003C0F4D">
      <w:pPr>
        <w:pStyle w:val="ListParagraph"/>
      </w:pPr>
    </w:p>
    <w:p w:rsidR="009C3A3C" w:rsidRDefault="009C3A3C" w:rsidP="003C0F4D">
      <w:pPr>
        <w:pStyle w:val="ListParagraph"/>
      </w:pPr>
    </w:p>
    <w:p w:rsidR="009C3A3C" w:rsidRPr="00A630C9" w:rsidRDefault="009C3A3C" w:rsidP="003C0F4D">
      <w:pPr>
        <w:pStyle w:val="ListParagraph"/>
      </w:pPr>
    </w:p>
    <w:p w:rsidR="003C0F4D" w:rsidRPr="00A630C9" w:rsidRDefault="003C0F4D" w:rsidP="00054CFD">
      <w:pPr>
        <w:pStyle w:val="ListParagraph"/>
        <w:numPr>
          <w:ilvl w:val="1"/>
          <w:numId w:val="2"/>
        </w:numPr>
        <w:spacing w:after="200" w:line="276" w:lineRule="auto"/>
        <w:ind w:left="1276"/>
      </w:pPr>
      <w:r w:rsidRPr="00A630C9">
        <w:t>Application Permitted:</w:t>
      </w:r>
    </w:p>
    <w:tbl>
      <w:tblPr>
        <w:tblW w:w="978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701"/>
        <w:gridCol w:w="3827"/>
        <w:gridCol w:w="1134"/>
        <w:gridCol w:w="1417"/>
      </w:tblGrid>
      <w:tr w:rsidR="003C0F4D" w:rsidRPr="00DB578A" w:rsidTr="00A630C9">
        <w:trPr>
          <w:trHeight w:val="315"/>
        </w:trPr>
        <w:tc>
          <w:tcPr>
            <w:tcW w:w="1710" w:type="dxa"/>
            <w:shd w:val="clear" w:color="000000" w:fill="00509A"/>
            <w:vAlign w:val="center"/>
            <w:hideMark/>
          </w:tcPr>
          <w:p w:rsidR="003C0F4D" w:rsidRPr="00AB1B46" w:rsidRDefault="004B08F2" w:rsidP="00A630C9">
            <w:pPr>
              <w:spacing w:after="0"/>
              <w:ind w:left="-1"/>
              <w:rPr>
                <w:color w:val="FFFFFF" w:themeColor="background1"/>
              </w:rPr>
            </w:pPr>
            <w:hyperlink r:id="rId29" w:tooltip="Sort" w:history="1">
              <w:r w:rsidR="003C0F4D" w:rsidRPr="00AB1B46">
                <w:rPr>
                  <w:color w:val="FFFFFF" w:themeColor="background1"/>
                </w:rPr>
                <w:t>Reference No.</w:t>
              </w:r>
            </w:hyperlink>
          </w:p>
        </w:tc>
        <w:tc>
          <w:tcPr>
            <w:tcW w:w="1701" w:type="dxa"/>
            <w:shd w:val="clear" w:color="000000" w:fill="00509A"/>
            <w:vAlign w:val="center"/>
            <w:hideMark/>
          </w:tcPr>
          <w:p w:rsidR="003C0F4D" w:rsidRPr="00AB1B46" w:rsidRDefault="004B08F2" w:rsidP="00A630C9">
            <w:pPr>
              <w:spacing w:after="0"/>
              <w:ind w:left="-1"/>
              <w:rPr>
                <w:color w:val="FFFFFF" w:themeColor="background1"/>
              </w:rPr>
            </w:pPr>
            <w:hyperlink r:id="rId30" w:tooltip="Sort" w:history="1">
              <w:r w:rsidR="003C0F4D" w:rsidRPr="00AB1B46">
                <w:rPr>
                  <w:color w:val="FFFFFF" w:themeColor="background1"/>
                </w:rPr>
                <w:t>Location</w:t>
              </w:r>
            </w:hyperlink>
          </w:p>
        </w:tc>
        <w:tc>
          <w:tcPr>
            <w:tcW w:w="3827" w:type="dxa"/>
            <w:shd w:val="clear" w:color="000000" w:fill="00509A"/>
            <w:vAlign w:val="center"/>
            <w:hideMark/>
          </w:tcPr>
          <w:p w:rsidR="003C0F4D" w:rsidRPr="00AB1B46" w:rsidRDefault="004B08F2" w:rsidP="00A630C9">
            <w:pPr>
              <w:spacing w:after="0"/>
              <w:ind w:left="-1"/>
              <w:rPr>
                <w:color w:val="FFFFFF" w:themeColor="background1"/>
              </w:rPr>
            </w:pPr>
            <w:hyperlink r:id="rId31" w:tooltip="Sort" w:history="1">
              <w:r w:rsidR="003C0F4D" w:rsidRPr="00AB1B46">
                <w:rPr>
                  <w:color w:val="FFFFFF" w:themeColor="background1"/>
                </w:rPr>
                <w:t>Proposal/ Description</w:t>
              </w:r>
            </w:hyperlink>
          </w:p>
        </w:tc>
        <w:tc>
          <w:tcPr>
            <w:tcW w:w="1134" w:type="dxa"/>
            <w:shd w:val="clear" w:color="000000" w:fill="00509A"/>
            <w:vAlign w:val="center"/>
            <w:hideMark/>
          </w:tcPr>
          <w:p w:rsidR="003C0F4D" w:rsidRPr="00AB1B46" w:rsidRDefault="004B08F2" w:rsidP="00A630C9">
            <w:pPr>
              <w:spacing w:after="0"/>
              <w:ind w:left="-1"/>
              <w:rPr>
                <w:color w:val="FFFFFF" w:themeColor="background1"/>
              </w:rPr>
            </w:pPr>
            <w:hyperlink r:id="rId32" w:tooltip="Sort" w:history="1">
              <w:r w:rsidR="003C0F4D" w:rsidRPr="00AB1B46">
                <w:rPr>
                  <w:color w:val="FFFFFF" w:themeColor="background1"/>
                </w:rPr>
                <w:t>Validated</w:t>
              </w:r>
            </w:hyperlink>
          </w:p>
        </w:tc>
        <w:tc>
          <w:tcPr>
            <w:tcW w:w="1417" w:type="dxa"/>
            <w:shd w:val="clear" w:color="000000" w:fill="00509A"/>
            <w:vAlign w:val="center"/>
            <w:hideMark/>
          </w:tcPr>
          <w:p w:rsidR="003C0F4D" w:rsidRPr="00AB1B46" w:rsidRDefault="004B08F2" w:rsidP="00A630C9">
            <w:pPr>
              <w:spacing w:after="0"/>
              <w:ind w:left="-1"/>
              <w:rPr>
                <w:color w:val="FFFFFF" w:themeColor="background1"/>
              </w:rPr>
            </w:pPr>
            <w:hyperlink r:id="rId33" w:tooltip="Sort" w:history="1">
              <w:r w:rsidR="003C0F4D" w:rsidRPr="00AB1B46">
                <w:rPr>
                  <w:color w:val="FFFFFF" w:themeColor="background1"/>
                </w:rPr>
                <w:t>Status</w:t>
              </w:r>
            </w:hyperlink>
          </w:p>
        </w:tc>
      </w:tr>
      <w:tr w:rsidR="003C0F4D" w:rsidRPr="00DB578A" w:rsidTr="00A630C9">
        <w:trPr>
          <w:trHeight w:val="1140"/>
        </w:trPr>
        <w:tc>
          <w:tcPr>
            <w:tcW w:w="1710" w:type="dxa"/>
            <w:shd w:val="clear" w:color="000000" w:fill="FFFFFF"/>
            <w:hideMark/>
          </w:tcPr>
          <w:p w:rsidR="003C0F4D" w:rsidRPr="00B836E0" w:rsidRDefault="004B08F2" w:rsidP="00A630C9">
            <w:pPr>
              <w:spacing w:after="0"/>
              <w:ind w:left="-1"/>
            </w:pPr>
            <w:hyperlink r:id="rId34" w:history="1">
              <w:r w:rsidR="003C0F4D" w:rsidRPr="00B836E0">
                <w:t>20/03063/TCA</w:t>
              </w:r>
            </w:hyperlink>
          </w:p>
        </w:tc>
        <w:tc>
          <w:tcPr>
            <w:tcW w:w="1701" w:type="dxa"/>
            <w:shd w:val="clear" w:color="000000" w:fill="FFFFFF"/>
            <w:hideMark/>
          </w:tcPr>
          <w:p w:rsidR="003C0F4D" w:rsidRPr="00B836E0" w:rsidRDefault="003C0F4D" w:rsidP="00A630C9">
            <w:pPr>
              <w:spacing w:after="0"/>
              <w:ind w:left="-1"/>
            </w:pPr>
            <w:r w:rsidRPr="00B836E0">
              <w:t>The Gables Millers Lane Hornton OX15 6BS</w:t>
            </w:r>
          </w:p>
        </w:tc>
        <w:tc>
          <w:tcPr>
            <w:tcW w:w="3827" w:type="dxa"/>
            <w:shd w:val="clear" w:color="000000" w:fill="FFFFFF"/>
            <w:hideMark/>
          </w:tcPr>
          <w:p w:rsidR="003C0F4D" w:rsidRPr="00B836E0" w:rsidRDefault="003C0F4D" w:rsidP="00A630C9">
            <w:pPr>
              <w:spacing w:after="0"/>
              <w:ind w:left="-1"/>
            </w:pPr>
            <w:r w:rsidRPr="00B836E0">
              <w:t xml:space="preserve">T1 x </w:t>
            </w:r>
            <w:proofErr w:type="spellStart"/>
            <w:r w:rsidRPr="00B836E0">
              <w:t>Portugese</w:t>
            </w:r>
            <w:proofErr w:type="spellEnd"/>
            <w:r w:rsidRPr="00B836E0">
              <w:t xml:space="preserve"> Laurel - Fell as the tree overhangs a public footpath, the neighbouring roof and a stone wall. A large branch is split and on closer inspection the entire trunk is split. The tree is in a dangerous condition.</w:t>
            </w:r>
          </w:p>
        </w:tc>
        <w:tc>
          <w:tcPr>
            <w:tcW w:w="1134" w:type="dxa"/>
            <w:shd w:val="clear" w:color="000000" w:fill="FFFFFF"/>
            <w:hideMark/>
          </w:tcPr>
          <w:p w:rsidR="003C0F4D" w:rsidRPr="00B836E0" w:rsidRDefault="003C0F4D" w:rsidP="00A630C9">
            <w:pPr>
              <w:spacing w:after="0"/>
              <w:ind w:left="-1"/>
            </w:pPr>
            <w:r w:rsidRPr="00B836E0">
              <w:t>28/10/20</w:t>
            </w:r>
          </w:p>
        </w:tc>
        <w:tc>
          <w:tcPr>
            <w:tcW w:w="1417" w:type="dxa"/>
            <w:shd w:val="clear" w:color="000000" w:fill="FFFFFF"/>
            <w:hideMark/>
          </w:tcPr>
          <w:p w:rsidR="003C0F4D" w:rsidRPr="00B836E0" w:rsidRDefault="003C0F4D" w:rsidP="00A630C9">
            <w:pPr>
              <w:spacing w:after="0"/>
              <w:ind w:left="-1"/>
            </w:pPr>
            <w:r w:rsidRPr="00B836E0">
              <w:t>Application Permitted</w:t>
            </w:r>
          </w:p>
        </w:tc>
      </w:tr>
      <w:tr w:rsidR="003C0F4D" w:rsidRPr="00DB578A" w:rsidTr="00A630C9">
        <w:trPr>
          <w:trHeight w:val="1140"/>
        </w:trPr>
        <w:tc>
          <w:tcPr>
            <w:tcW w:w="1710" w:type="dxa"/>
            <w:shd w:val="clear" w:color="000000" w:fill="FFFFFF"/>
            <w:hideMark/>
          </w:tcPr>
          <w:p w:rsidR="003C0F4D" w:rsidRPr="00A630C9" w:rsidRDefault="004B08F2" w:rsidP="00A630C9">
            <w:pPr>
              <w:spacing w:after="0"/>
              <w:ind w:left="-1"/>
            </w:pPr>
            <w:hyperlink r:id="rId35" w:history="1">
              <w:r w:rsidR="003C0F4D" w:rsidRPr="003D4E3E">
                <w:t>20/03397/LB</w:t>
              </w:r>
            </w:hyperlink>
          </w:p>
        </w:tc>
        <w:tc>
          <w:tcPr>
            <w:tcW w:w="1701" w:type="dxa"/>
            <w:shd w:val="clear" w:color="000000" w:fill="FFFFFF"/>
            <w:hideMark/>
          </w:tcPr>
          <w:p w:rsidR="003C0F4D" w:rsidRPr="00A630C9" w:rsidRDefault="003C0F4D" w:rsidP="00A630C9">
            <w:pPr>
              <w:spacing w:after="0"/>
              <w:ind w:left="-1"/>
            </w:pPr>
            <w:r w:rsidRPr="00A630C9">
              <w:t>Crosby Millers Lane Hornton OX15 6BS</w:t>
            </w:r>
          </w:p>
        </w:tc>
        <w:tc>
          <w:tcPr>
            <w:tcW w:w="3827" w:type="dxa"/>
            <w:shd w:val="clear" w:color="000000" w:fill="FFFFFF"/>
            <w:hideMark/>
          </w:tcPr>
          <w:p w:rsidR="003C0F4D" w:rsidRPr="00A630C9" w:rsidRDefault="003C0F4D" w:rsidP="00A630C9">
            <w:pPr>
              <w:spacing w:after="0"/>
              <w:ind w:left="-1"/>
            </w:pPr>
            <w:r w:rsidRPr="00A630C9">
              <w:t>Re-instatement of a thatched roof and roof structure together with repairs to the stone walls at roof level and rebuilding of a chimney.</w:t>
            </w:r>
          </w:p>
        </w:tc>
        <w:tc>
          <w:tcPr>
            <w:tcW w:w="1134" w:type="dxa"/>
            <w:shd w:val="clear" w:color="000000" w:fill="FFFFFF"/>
            <w:hideMark/>
          </w:tcPr>
          <w:p w:rsidR="003C0F4D" w:rsidRPr="00A630C9" w:rsidRDefault="003C0F4D" w:rsidP="00A630C9">
            <w:pPr>
              <w:spacing w:after="0"/>
              <w:ind w:left="-1"/>
            </w:pPr>
            <w:r w:rsidRPr="00A630C9">
              <w:t>26/11/20</w:t>
            </w:r>
          </w:p>
        </w:tc>
        <w:tc>
          <w:tcPr>
            <w:tcW w:w="1417" w:type="dxa"/>
            <w:shd w:val="clear" w:color="000000" w:fill="FFFFFF"/>
            <w:hideMark/>
          </w:tcPr>
          <w:p w:rsidR="003C0F4D" w:rsidRPr="00A630C9" w:rsidRDefault="003C0F4D" w:rsidP="00A630C9">
            <w:pPr>
              <w:spacing w:after="0"/>
              <w:ind w:left="-1"/>
            </w:pPr>
            <w:r w:rsidRPr="00A630C9">
              <w:t>Application Permitted</w:t>
            </w:r>
          </w:p>
        </w:tc>
      </w:tr>
      <w:tr w:rsidR="003C0F4D" w:rsidRPr="00DB578A" w:rsidTr="00A630C9">
        <w:trPr>
          <w:trHeight w:val="1140"/>
        </w:trPr>
        <w:tc>
          <w:tcPr>
            <w:tcW w:w="1710" w:type="dxa"/>
            <w:shd w:val="clear" w:color="000000" w:fill="FFFFFF"/>
            <w:hideMark/>
          </w:tcPr>
          <w:p w:rsidR="003C0F4D" w:rsidRPr="00A630C9" w:rsidRDefault="004B08F2" w:rsidP="00A630C9">
            <w:pPr>
              <w:spacing w:after="0"/>
              <w:ind w:left="-1"/>
            </w:pPr>
            <w:hyperlink r:id="rId36" w:history="1">
              <w:r w:rsidR="003C0F4D" w:rsidRPr="003D4E3E">
                <w:t>20/03396/F</w:t>
              </w:r>
            </w:hyperlink>
          </w:p>
        </w:tc>
        <w:tc>
          <w:tcPr>
            <w:tcW w:w="1701" w:type="dxa"/>
            <w:shd w:val="clear" w:color="000000" w:fill="FFFFFF"/>
            <w:hideMark/>
          </w:tcPr>
          <w:p w:rsidR="003C0F4D" w:rsidRPr="00A630C9" w:rsidRDefault="003C0F4D" w:rsidP="00A630C9">
            <w:pPr>
              <w:spacing w:after="0"/>
              <w:ind w:left="-1"/>
            </w:pPr>
            <w:r w:rsidRPr="00A630C9">
              <w:t>Crosby Millers Lane Hornton OX15 6BS</w:t>
            </w:r>
          </w:p>
        </w:tc>
        <w:tc>
          <w:tcPr>
            <w:tcW w:w="3827" w:type="dxa"/>
            <w:shd w:val="clear" w:color="000000" w:fill="FFFFFF"/>
            <w:hideMark/>
          </w:tcPr>
          <w:p w:rsidR="003C0F4D" w:rsidRPr="00A630C9" w:rsidRDefault="003C0F4D" w:rsidP="00A630C9">
            <w:pPr>
              <w:spacing w:after="0"/>
              <w:ind w:left="-1"/>
            </w:pPr>
            <w:r w:rsidRPr="00A630C9">
              <w:t>Re-instatement of a thatched roof and roof structure together with repairs to the stone walls at roof level and rebuilding of a chimney</w:t>
            </w:r>
          </w:p>
        </w:tc>
        <w:tc>
          <w:tcPr>
            <w:tcW w:w="1134" w:type="dxa"/>
            <w:shd w:val="clear" w:color="000000" w:fill="FFFFFF"/>
            <w:hideMark/>
          </w:tcPr>
          <w:p w:rsidR="003C0F4D" w:rsidRPr="00A630C9" w:rsidRDefault="003C0F4D" w:rsidP="00A630C9">
            <w:pPr>
              <w:spacing w:after="0"/>
              <w:ind w:left="-1"/>
            </w:pPr>
            <w:r w:rsidRPr="00A630C9">
              <w:t>26/11/20</w:t>
            </w:r>
          </w:p>
        </w:tc>
        <w:tc>
          <w:tcPr>
            <w:tcW w:w="1417" w:type="dxa"/>
            <w:shd w:val="clear" w:color="000000" w:fill="FFFFFF"/>
            <w:hideMark/>
          </w:tcPr>
          <w:p w:rsidR="003C0F4D" w:rsidRPr="00A630C9" w:rsidRDefault="003C0F4D" w:rsidP="00A630C9">
            <w:pPr>
              <w:spacing w:after="0"/>
              <w:ind w:left="-1"/>
            </w:pPr>
            <w:r w:rsidRPr="00A630C9">
              <w:t>Application Permitted</w:t>
            </w:r>
          </w:p>
        </w:tc>
      </w:tr>
    </w:tbl>
    <w:p w:rsidR="003C0F4D" w:rsidRDefault="003C0F4D" w:rsidP="003C0F4D">
      <w:pPr>
        <w:pStyle w:val="ListParagraph"/>
        <w:rPr>
          <w:b/>
          <w:sz w:val="20"/>
          <w:szCs w:val="20"/>
        </w:rPr>
      </w:pPr>
    </w:p>
    <w:p w:rsidR="003C0F4D" w:rsidRDefault="00A630C9" w:rsidP="001F3CC8">
      <w:pPr>
        <w:pStyle w:val="ListParagraph"/>
        <w:numPr>
          <w:ilvl w:val="1"/>
          <w:numId w:val="2"/>
        </w:numPr>
        <w:spacing w:after="0" w:line="276" w:lineRule="auto"/>
        <w:ind w:left="1276"/>
      </w:pPr>
      <w:r w:rsidRPr="00A630C9">
        <w:t xml:space="preserve">Garage – </w:t>
      </w:r>
      <w:r w:rsidR="003C0F4D" w:rsidRPr="00A630C9">
        <w:t>Millers Lane</w:t>
      </w:r>
    </w:p>
    <w:p w:rsidR="00923E66" w:rsidRPr="00AB632C" w:rsidRDefault="00AB632C" w:rsidP="00AB632C">
      <w:pPr>
        <w:spacing w:after="200" w:line="276" w:lineRule="auto"/>
      </w:pPr>
      <w:r>
        <w:t xml:space="preserve">A resident had contacted the Parish Council noting that one of the garages near the green at Miller’s Lane has recently been significantly remodelled.  </w:t>
      </w:r>
      <w:r w:rsidR="00CA18A4">
        <w:t>Being in the conservation area, an retrospective planning application should be submitted, the cl</w:t>
      </w:r>
      <w:r w:rsidR="00054CFD">
        <w:t>erk would</w:t>
      </w:r>
      <w:r w:rsidR="00CA18A4">
        <w:t xml:space="preserve"> contact the owner of the garage.</w:t>
      </w:r>
      <w:r>
        <w:t xml:space="preserve">  </w:t>
      </w:r>
      <w:r w:rsidR="001E3199">
        <w:rPr>
          <w:b/>
        </w:rPr>
        <w:t>Action: FD</w:t>
      </w:r>
    </w:p>
    <w:p w:rsidR="00082C43" w:rsidRDefault="00082C43" w:rsidP="00082C43">
      <w:pPr>
        <w:pStyle w:val="headingsmin"/>
        <w:ind w:left="709"/>
      </w:pPr>
      <w:r w:rsidRPr="00082C43">
        <w:t>Clerk</w:t>
      </w:r>
      <w:r>
        <w:t xml:space="preserve"> and RFO Appointment</w:t>
      </w:r>
    </w:p>
    <w:p w:rsidR="00787F97" w:rsidRDefault="007C284A" w:rsidP="00787F97">
      <w:pPr>
        <w:spacing w:after="0"/>
      </w:pPr>
      <w:r>
        <w:t xml:space="preserve">Fiona Donaldson was </w:t>
      </w:r>
      <w:r>
        <w:rPr>
          <w:b/>
        </w:rPr>
        <w:t xml:space="preserve">appointed </w:t>
      </w:r>
      <w:r w:rsidR="00787F97">
        <w:t>as the clerk.</w:t>
      </w:r>
    </w:p>
    <w:p w:rsidR="00787F97" w:rsidRPr="00787F97" w:rsidRDefault="00787F97" w:rsidP="00787F97">
      <w:r>
        <w:t xml:space="preserve">Lisa Wilkinson was </w:t>
      </w:r>
      <w:r>
        <w:rPr>
          <w:b/>
        </w:rPr>
        <w:t xml:space="preserve">appointed </w:t>
      </w:r>
      <w:r>
        <w:t>as the Responsible Finance Officer (RFO) .</w:t>
      </w:r>
    </w:p>
    <w:p w:rsidR="00082C43" w:rsidRPr="00082C43" w:rsidRDefault="00082C43" w:rsidP="00082C43">
      <w:pPr>
        <w:pStyle w:val="headingsmin"/>
        <w:ind w:left="709"/>
        <w:rPr>
          <w:rFonts w:eastAsia="Times New Roman"/>
          <w:sz w:val="24"/>
          <w:szCs w:val="24"/>
          <w:lang w:val="en-US" w:eastAsia="ar-SA"/>
        </w:rPr>
      </w:pPr>
      <w:r w:rsidRPr="00082C43">
        <w:rPr>
          <w:rFonts w:eastAsia="Times New Roman"/>
          <w:sz w:val="24"/>
          <w:szCs w:val="24"/>
          <w:lang w:val="en-US" w:eastAsia="ar-SA"/>
        </w:rPr>
        <w:t xml:space="preserve">Internal Auditor </w:t>
      </w:r>
      <w:r w:rsidRPr="00082C43">
        <w:t>Appointment</w:t>
      </w:r>
    </w:p>
    <w:p w:rsidR="004A15A4" w:rsidRPr="004A15A4" w:rsidRDefault="00787F97" w:rsidP="00787F97">
      <w:pPr>
        <w:widowControl w:val="0"/>
        <w:ind w:left="709"/>
        <w:rPr>
          <w:szCs w:val="24"/>
        </w:rPr>
      </w:pPr>
      <w:r>
        <w:rPr>
          <w:szCs w:val="24"/>
        </w:rPr>
        <w:t xml:space="preserve">Jane Olds was </w:t>
      </w:r>
      <w:r w:rsidRPr="00787F97">
        <w:rPr>
          <w:b/>
          <w:szCs w:val="24"/>
        </w:rPr>
        <w:t>appointed</w:t>
      </w:r>
      <w:r>
        <w:rPr>
          <w:szCs w:val="24"/>
        </w:rPr>
        <w:t xml:space="preserve"> as internal auditor for the financial year of 2020-2021.</w:t>
      </w:r>
    </w:p>
    <w:p w:rsidR="00082C43" w:rsidRPr="00082C43" w:rsidRDefault="00082C43" w:rsidP="00082C43">
      <w:pPr>
        <w:pStyle w:val="headingsmin"/>
        <w:ind w:left="709"/>
        <w:rPr>
          <w:szCs w:val="24"/>
        </w:rPr>
      </w:pPr>
      <w:r w:rsidRPr="00082C43">
        <w:rPr>
          <w:szCs w:val="24"/>
        </w:rPr>
        <w:t xml:space="preserve">Risk Management </w:t>
      </w:r>
      <w:r w:rsidRPr="00082C43">
        <w:t>Scheme</w:t>
      </w:r>
    </w:p>
    <w:p w:rsidR="001F3CC8" w:rsidRDefault="0063528C" w:rsidP="00544E12">
      <w:r>
        <w:t xml:space="preserve">Risk Management Scheme was </w:t>
      </w:r>
      <w:r w:rsidR="00CA18A4">
        <w:rPr>
          <w:b/>
        </w:rPr>
        <w:t>approved</w:t>
      </w:r>
      <w:r w:rsidR="00A9091F">
        <w:rPr>
          <w:b/>
        </w:rPr>
        <w:t>.</w:t>
      </w:r>
      <w:r w:rsidR="00A9091F">
        <w:t xml:space="preserve"> </w:t>
      </w:r>
    </w:p>
    <w:p w:rsidR="00544E12" w:rsidRPr="00A9091F" w:rsidRDefault="00A9091F" w:rsidP="00544E12">
      <w:r>
        <w:t>A</w:t>
      </w:r>
      <w:r w:rsidR="001F3CC8">
        <w:t>ll</w:t>
      </w:r>
      <w:r>
        <w:t xml:space="preserve"> electronic payments must be authorised at council meetings was discussed</w:t>
      </w:r>
      <w:r w:rsidR="001F3CC8">
        <w:t xml:space="preserve"> - t</w:t>
      </w:r>
      <w:r>
        <w:t xml:space="preserve">he council </w:t>
      </w:r>
      <w:r>
        <w:rPr>
          <w:b/>
        </w:rPr>
        <w:t>agreed</w:t>
      </w:r>
      <w:r>
        <w:t xml:space="preserve"> </w:t>
      </w:r>
      <w:r w:rsidR="001F3CC8">
        <w:t>that</w:t>
      </w:r>
      <w:r>
        <w:t xml:space="preserve"> payments</w:t>
      </w:r>
      <w:r w:rsidR="001F3CC8">
        <w:t xml:space="preserve"> could be</w:t>
      </w:r>
      <w:r>
        <w:t xml:space="preserve"> authorised (signatures obtained by signatories) between meetings </w:t>
      </w:r>
      <w:r w:rsidR="001F3CC8">
        <w:t xml:space="preserve">and </w:t>
      </w:r>
      <w:r>
        <w:t>had to be presented in the meetings</w:t>
      </w:r>
      <w:r w:rsidR="001F3CC8">
        <w:t xml:space="preserve"> after the payments</w:t>
      </w:r>
      <w:r>
        <w:t>.</w:t>
      </w:r>
    </w:p>
    <w:p w:rsidR="00082C43" w:rsidRPr="00082C43" w:rsidRDefault="00082C43" w:rsidP="00082C43">
      <w:pPr>
        <w:pStyle w:val="headingsmin"/>
        <w:ind w:left="709"/>
        <w:rPr>
          <w:lang w:val="en-US"/>
        </w:rPr>
      </w:pPr>
      <w:r w:rsidRPr="00082C43">
        <w:rPr>
          <w:lang w:val="en-US"/>
        </w:rPr>
        <w:t xml:space="preserve">Freedom of </w:t>
      </w:r>
      <w:r w:rsidRPr="00082C43">
        <w:t>Information</w:t>
      </w:r>
      <w:r w:rsidRPr="00082C43">
        <w:rPr>
          <w:lang w:val="en-US"/>
        </w:rPr>
        <w:t xml:space="preserve"> Scheme</w:t>
      </w:r>
    </w:p>
    <w:p w:rsidR="00481190" w:rsidRPr="00CA18A4" w:rsidRDefault="0063528C" w:rsidP="00CA18A4">
      <w:pPr>
        <w:rPr>
          <w:b/>
        </w:rPr>
      </w:pPr>
      <w:r>
        <w:t xml:space="preserve">Freedom of Information Scheme was </w:t>
      </w:r>
      <w:r>
        <w:rPr>
          <w:b/>
        </w:rPr>
        <w:t>approved.</w:t>
      </w:r>
      <w:r w:rsidR="00D073F2">
        <w:tab/>
      </w:r>
      <w:r w:rsidR="00481190">
        <w:tab/>
      </w:r>
    </w:p>
    <w:p w:rsidR="00082C43" w:rsidRPr="00082C43" w:rsidRDefault="00082C43" w:rsidP="00082C43">
      <w:pPr>
        <w:pStyle w:val="headingsmin"/>
        <w:ind w:left="709"/>
        <w:rPr>
          <w:szCs w:val="24"/>
        </w:rPr>
      </w:pPr>
      <w:r w:rsidRPr="00082C43">
        <w:rPr>
          <w:szCs w:val="24"/>
        </w:rPr>
        <w:t>Code of Conduct</w:t>
      </w:r>
    </w:p>
    <w:p w:rsidR="00D30CC4" w:rsidRPr="000439E3" w:rsidRDefault="0063528C" w:rsidP="00481190">
      <w:r>
        <w:t xml:space="preserve">Code of Conduct was </w:t>
      </w:r>
      <w:r>
        <w:rPr>
          <w:b/>
        </w:rPr>
        <w:t>approved.</w:t>
      </w:r>
      <w:r w:rsidR="000439E3" w:rsidRPr="000439E3">
        <w:t xml:space="preserve"> Declaration of interests</w:t>
      </w:r>
      <w:r w:rsidR="000439E3">
        <w:t xml:space="preserve"> would be further revie</w:t>
      </w:r>
      <w:r w:rsidR="001F3CC8">
        <w:t>wed to ensure all interests are</w:t>
      </w:r>
      <w:r w:rsidR="000439E3">
        <w:t xml:space="preserve"> registered</w:t>
      </w:r>
      <w:r w:rsidR="001F3CC8">
        <w:t xml:space="preserve"> and published</w:t>
      </w:r>
      <w:r w:rsidR="000439E3">
        <w:t>.</w:t>
      </w:r>
    </w:p>
    <w:p w:rsidR="00082C43" w:rsidRPr="00124D5A" w:rsidRDefault="00082C43" w:rsidP="0015265B">
      <w:pPr>
        <w:pStyle w:val="headings"/>
        <w:numPr>
          <w:ilvl w:val="0"/>
          <w:numId w:val="4"/>
        </w:numPr>
        <w:ind w:left="709"/>
        <w:rPr>
          <w:rFonts w:eastAsia="Times New Roman"/>
          <w:lang w:val="en-US" w:eastAsia="ar-SA"/>
        </w:rPr>
      </w:pPr>
      <w:r w:rsidRPr="00124D5A">
        <w:rPr>
          <w:rFonts w:eastAsia="Times New Roman"/>
          <w:lang w:val="en-US" w:eastAsia="ar-SA"/>
        </w:rPr>
        <w:t xml:space="preserve">Pavilion </w:t>
      </w:r>
      <w:r w:rsidRPr="00124D5A">
        <w:t>Driveway</w:t>
      </w:r>
    </w:p>
    <w:p w:rsidR="00683BF3" w:rsidRPr="000439E3" w:rsidRDefault="00061C2F" w:rsidP="00683BF3">
      <w:r w:rsidRPr="0063528C">
        <w:t>Thames Water (TW) carried out extensive work on the sewage plant about 6 years ago and although they put some tarmac down on completion it was totally inadequate and lacked drainage.</w:t>
      </w:r>
      <w:r>
        <w:t xml:space="preserve"> </w:t>
      </w:r>
      <w:r w:rsidRPr="0063528C">
        <w:t xml:space="preserve">The </w:t>
      </w:r>
      <w:r w:rsidRPr="0063528C">
        <w:lastRenderedPageBreak/>
        <w:t>surface has deteriorated considerably in</w:t>
      </w:r>
      <w:r w:rsidR="00700E11">
        <w:t xml:space="preserve"> the last year. </w:t>
      </w:r>
      <w:r w:rsidR="003D53AB">
        <w:t>TW did not agree to resurface this stretch because the PC had not taken action until now and the stretch was owned by the PC.</w:t>
      </w:r>
    </w:p>
    <w:p w:rsidR="003D53AB" w:rsidRDefault="003D53AB" w:rsidP="001151E1">
      <w:r>
        <w:t>Cindy</w:t>
      </w:r>
      <w:r w:rsidR="008F7AEE">
        <w:t xml:space="preserve"> Koberl</w:t>
      </w:r>
      <w:r>
        <w:t>, the RFO, put out a tender to 3 companies and 2 provided estimates</w:t>
      </w:r>
      <w:r w:rsidR="0008158D">
        <w:t xml:space="preserve"> (the third company could not be on site due to COVID restrictions). The co</w:t>
      </w:r>
      <w:r w:rsidR="001F3CC8">
        <w:t xml:space="preserve">uncil decided to pursue </w:t>
      </w:r>
      <w:r w:rsidR="0008158D">
        <w:t xml:space="preserve">with Davies Surfacing. </w:t>
      </w:r>
    </w:p>
    <w:p w:rsidR="008334D5" w:rsidRPr="00A16D6C" w:rsidRDefault="00683BF3" w:rsidP="00A16D6C">
      <w:r>
        <w:t xml:space="preserve">Further to </w:t>
      </w:r>
      <w:r w:rsidR="00D30CC4">
        <w:t>Cllr. Hewlett</w:t>
      </w:r>
      <w:r w:rsidRPr="0008158D">
        <w:t>’s</w:t>
      </w:r>
      <w:r w:rsidRPr="00683BF3">
        <w:t xml:space="preserve"> negotiation</w:t>
      </w:r>
      <w:r w:rsidRPr="0008158D">
        <w:t xml:space="preserve"> </w:t>
      </w:r>
      <w:r w:rsidR="001151E1" w:rsidRPr="0008158D">
        <w:t xml:space="preserve">with TW, TW agreed to pay half of the cost if drainage was included in the estimate. David Surfacing </w:t>
      </w:r>
      <w:r w:rsidR="00061C2F">
        <w:t>revised</w:t>
      </w:r>
      <w:r w:rsidR="003F2D80">
        <w:t xml:space="preserve"> </w:t>
      </w:r>
      <w:r w:rsidR="001151E1">
        <w:t xml:space="preserve">its estimate </w:t>
      </w:r>
      <w:r w:rsidR="003F2D80">
        <w:t>to include drainage to £1</w:t>
      </w:r>
      <w:r w:rsidR="001151E1">
        <w:t>0,600</w:t>
      </w:r>
      <w:r w:rsidR="00061C2F">
        <w:t xml:space="preserve">. The council </w:t>
      </w:r>
      <w:r w:rsidR="001151E1" w:rsidRPr="0008158D">
        <w:rPr>
          <w:b/>
        </w:rPr>
        <w:t>authorised</w:t>
      </w:r>
      <w:r w:rsidR="00061C2F" w:rsidRPr="0008158D">
        <w:t xml:space="preserve"> </w:t>
      </w:r>
      <w:r w:rsidR="00700E11">
        <w:t>50/</w:t>
      </w:r>
      <w:r w:rsidR="001151E1">
        <w:t>50 split with TW to pay £5,300</w:t>
      </w:r>
      <w:r w:rsidR="00700E11">
        <w:t xml:space="preserve"> </w:t>
      </w:r>
      <w:r w:rsidR="001151E1">
        <w:t xml:space="preserve">to </w:t>
      </w:r>
      <w:r w:rsidR="00700E11">
        <w:t>res</w:t>
      </w:r>
      <w:r w:rsidR="001151E1">
        <w:t>urface</w:t>
      </w:r>
      <w:r w:rsidR="00700E11">
        <w:t xml:space="preserve"> the driveway.</w:t>
      </w:r>
      <w:r w:rsidR="008334D5" w:rsidRPr="0008158D">
        <w:tab/>
      </w:r>
      <w:r w:rsidR="001C07CD">
        <w:t>Cllr. Hewlett to contact David Surfacing to commence the work.</w:t>
      </w:r>
      <w:r w:rsidR="00B33241">
        <w:rPr>
          <w:bCs/>
        </w:rPr>
        <w:tab/>
      </w:r>
      <w:r w:rsidR="00B33241">
        <w:rPr>
          <w:bCs/>
        </w:rPr>
        <w:tab/>
      </w:r>
      <w:r w:rsidR="00B33241">
        <w:rPr>
          <w:bCs/>
        </w:rPr>
        <w:tab/>
      </w:r>
      <w:r w:rsidR="001151E1">
        <w:rPr>
          <w:bCs/>
        </w:rPr>
        <w:tab/>
      </w:r>
      <w:r w:rsidR="001151E1">
        <w:rPr>
          <w:bCs/>
        </w:rPr>
        <w:tab/>
      </w:r>
      <w:r w:rsidR="001151E1">
        <w:rPr>
          <w:bCs/>
        </w:rPr>
        <w:tab/>
      </w:r>
      <w:r w:rsidR="001151E1">
        <w:rPr>
          <w:bCs/>
        </w:rPr>
        <w:tab/>
      </w:r>
      <w:r w:rsidR="001151E1">
        <w:rPr>
          <w:bCs/>
        </w:rPr>
        <w:tab/>
      </w:r>
      <w:r w:rsidR="0008158D">
        <w:rPr>
          <w:bCs/>
        </w:rPr>
        <w:tab/>
      </w:r>
      <w:r w:rsidR="0008158D">
        <w:rPr>
          <w:bCs/>
        </w:rPr>
        <w:tab/>
      </w:r>
      <w:r w:rsidR="0008158D">
        <w:rPr>
          <w:bCs/>
        </w:rPr>
        <w:tab/>
      </w:r>
      <w:r w:rsidR="0008158D">
        <w:rPr>
          <w:bCs/>
        </w:rPr>
        <w:tab/>
      </w:r>
      <w:r w:rsidR="0008158D">
        <w:rPr>
          <w:bCs/>
        </w:rPr>
        <w:tab/>
      </w:r>
      <w:r w:rsidR="0008158D">
        <w:rPr>
          <w:bCs/>
        </w:rPr>
        <w:tab/>
      </w:r>
      <w:r w:rsidR="001C07CD">
        <w:rPr>
          <w:bCs/>
        </w:rPr>
        <w:tab/>
      </w:r>
      <w:r w:rsidR="001C07CD">
        <w:rPr>
          <w:bCs/>
        </w:rPr>
        <w:tab/>
      </w:r>
      <w:r w:rsidR="001C07CD">
        <w:rPr>
          <w:bCs/>
        </w:rPr>
        <w:tab/>
      </w:r>
      <w:r w:rsidR="001C07CD">
        <w:rPr>
          <w:bCs/>
        </w:rPr>
        <w:tab/>
      </w:r>
      <w:r w:rsidR="001C07CD">
        <w:rPr>
          <w:bCs/>
        </w:rPr>
        <w:tab/>
      </w:r>
      <w:r w:rsidR="00481190">
        <w:rPr>
          <w:b/>
          <w:bCs/>
        </w:rPr>
        <w:t>Action: TH</w:t>
      </w:r>
    </w:p>
    <w:p w:rsidR="0008158D" w:rsidRPr="0008158D" w:rsidRDefault="00082C43" w:rsidP="0008158D">
      <w:pPr>
        <w:pStyle w:val="headings"/>
        <w:numPr>
          <w:ilvl w:val="0"/>
          <w:numId w:val="4"/>
        </w:numPr>
        <w:ind w:left="709"/>
        <w:rPr>
          <w:rFonts w:eastAsia="Times New Roman"/>
          <w:sz w:val="24"/>
          <w:szCs w:val="24"/>
          <w:lang w:val="en-US" w:eastAsia="ar-SA"/>
        </w:rPr>
      </w:pPr>
      <w:r w:rsidRPr="00082C43">
        <w:rPr>
          <w:rFonts w:eastAsia="Times New Roman"/>
          <w:sz w:val="24"/>
          <w:szCs w:val="24"/>
          <w:lang w:val="en-US" w:eastAsia="ar-SA"/>
        </w:rPr>
        <w:t xml:space="preserve">20’s </w:t>
      </w:r>
      <w:r w:rsidRPr="00082C43">
        <w:rPr>
          <w:szCs w:val="24"/>
        </w:rPr>
        <w:t>Plenty</w:t>
      </w:r>
    </w:p>
    <w:p w:rsidR="0008158D" w:rsidRPr="0040229C" w:rsidRDefault="0008158D" w:rsidP="00A235BC">
      <w:r>
        <w:t>The PC fully supported t</w:t>
      </w:r>
      <w:r w:rsidR="00B33241">
        <w:t>he initiative of “20’s plenty for Oxfordshire” campaign but would not to take part on the legislation</w:t>
      </w:r>
      <w:r w:rsidR="00E414FB">
        <w:t xml:space="preserve"> </w:t>
      </w:r>
      <w:r w:rsidR="00B33241">
        <w:t>side. Cllr. Hewlett would look into suitable signs to remind drivers to slow down through the village.</w:t>
      </w:r>
      <w:r w:rsidR="00B33241">
        <w:tab/>
      </w:r>
      <w:r w:rsidR="00B33241">
        <w:tab/>
      </w:r>
      <w:r w:rsidR="00B33241">
        <w:tab/>
      </w:r>
      <w:r w:rsidR="00B33241">
        <w:tab/>
      </w:r>
      <w:r w:rsidR="00B33241">
        <w:tab/>
      </w:r>
      <w:r w:rsidR="00B33241">
        <w:tab/>
      </w:r>
      <w:r w:rsidR="00B33241">
        <w:tab/>
      </w:r>
      <w:r w:rsidR="00B33241">
        <w:tab/>
      </w:r>
      <w:r w:rsidR="00B33241">
        <w:tab/>
      </w:r>
      <w:r w:rsidR="00B33241">
        <w:tab/>
      </w:r>
      <w:r w:rsidR="00B33241">
        <w:rPr>
          <w:b/>
          <w:bCs/>
        </w:rPr>
        <w:t>Action: TH</w:t>
      </w:r>
    </w:p>
    <w:p w:rsidR="00082C43" w:rsidRPr="00082C43" w:rsidRDefault="00082C43" w:rsidP="0015265B">
      <w:pPr>
        <w:pStyle w:val="headings"/>
        <w:numPr>
          <w:ilvl w:val="0"/>
          <w:numId w:val="4"/>
        </w:numPr>
        <w:ind w:left="709"/>
        <w:rPr>
          <w:rFonts w:eastAsia="Times New Roman"/>
          <w:lang w:val="en-US" w:eastAsia="ar-SA"/>
        </w:rPr>
      </w:pPr>
      <w:r w:rsidRPr="00082C43">
        <w:rPr>
          <w:rFonts w:eastAsia="Times New Roman"/>
          <w:lang w:val="en-US" w:eastAsia="ar-SA"/>
        </w:rPr>
        <w:t>Climate Action</w:t>
      </w:r>
    </w:p>
    <w:p w:rsidR="00124D5A" w:rsidRDefault="00124D5A" w:rsidP="00544F4D">
      <w:pPr>
        <w:spacing w:after="0" w:line="276" w:lineRule="auto"/>
      </w:pPr>
      <w:r w:rsidRPr="00124D5A">
        <w:rPr>
          <w:szCs w:val="24"/>
        </w:rPr>
        <w:t xml:space="preserve">15.1. </w:t>
      </w:r>
      <w:r w:rsidRPr="00124D5A">
        <w:t>OCC Climate Action Framework</w:t>
      </w:r>
    </w:p>
    <w:p w:rsidR="00D22FD4" w:rsidRPr="008A1004" w:rsidRDefault="00D22FD4" w:rsidP="00D22FD4">
      <w:pPr>
        <w:spacing w:after="0" w:line="276" w:lineRule="auto"/>
      </w:pPr>
      <w:r w:rsidRPr="008A1004">
        <w:t xml:space="preserve">Oxfordshire County Council (OCC) approved </w:t>
      </w:r>
      <w:r>
        <w:t>Climate Action Framework i</w:t>
      </w:r>
      <w:r w:rsidRPr="008A1004">
        <w:t xml:space="preserve">n October 2020 </w:t>
      </w:r>
      <w:r>
        <w:t>and formed Climate Action Team to offer PCs support on becoming carbon-neutral. The PC had previously reviewed the alternatives to household oil heating systems but the costs were too high. The councillors would continue to research for viable solutions.</w:t>
      </w:r>
    </w:p>
    <w:p w:rsidR="00D22FD4" w:rsidRDefault="00D22FD4" w:rsidP="00544F4D">
      <w:pPr>
        <w:spacing w:after="0" w:line="276" w:lineRule="auto"/>
      </w:pPr>
    </w:p>
    <w:p w:rsidR="00124D5A" w:rsidRDefault="00124D5A" w:rsidP="00544F4D">
      <w:pPr>
        <w:spacing w:after="0" w:line="276" w:lineRule="auto"/>
      </w:pPr>
      <w:r w:rsidRPr="00124D5A">
        <w:t>15.2. Bus and car pooling for Hornton</w:t>
      </w:r>
    </w:p>
    <w:p w:rsidR="00D22FD4" w:rsidRDefault="00D22FD4" w:rsidP="00544F4D">
      <w:pPr>
        <w:spacing w:after="0" w:line="276" w:lineRule="auto"/>
      </w:pPr>
      <w:r>
        <w:t>B</w:t>
      </w:r>
      <w:r w:rsidR="00FB1ACF">
        <w:t xml:space="preserve">us </w:t>
      </w:r>
      <w:r>
        <w:t>and car pooling</w:t>
      </w:r>
      <w:r w:rsidR="00FB1ACF">
        <w:t xml:space="preserve"> services were not practical under the COVID restrictions. This should be reviewed after the restrictions were lifted.</w:t>
      </w:r>
    </w:p>
    <w:p w:rsidR="00544F4D" w:rsidRPr="00124D5A" w:rsidRDefault="00544F4D" w:rsidP="00544F4D">
      <w:pPr>
        <w:spacing w:after="0" w:line="276" w:lineRule="auto"/>
      </w:pPr>
    </w:p>
    <w:p w:rsidR="00544F4D" w:rsidRDefault="00124D5A" w:rsidP="00544F4D">
      <w:pPr>
        <w:spacing w:after="0" w:line="276" w:lineRule="auto"/>
      </w:pPr>
      <w:r w:rsidRPr="00124D5A">
        <w:t>15.3. Further recycling</w:t>
      </w:r>
    </w:p>
    <w:p w:rsidR="00124D5A" w:rsidRDefault="00124D5A" w:rsidP="00FB1ACF">
      <w:pPr>
        <w:spacing w:after="0" w:line="276" w:lineRule="auto"/>
      </w:pPr>
      <w:r>
        <w:rPr>
          <w:bCs/>
          <w:szCs w:val="24"/>
        </w:rPr>
        <w:t>Mrs. Offord</w:t>
      </w:r>
      <w:r w:rsidR="008A1004">
        <w:rPr>
          <w:bCs/>
          <w:szCs w:val="24"/>
        </w:rPr>
        <w:t xml:space="preserve"> </w:t>
      </w:r>
      <w:r w:rsidR="00FB1ACF">
        <w:rPr>
          <w:bCs/>
          <w:szCs w:val="24"/>
        </w:rPr>
        <w:t xml:space="preserve">would find out more on </w:t>
      </w:r>
      <w:r w:rsidR="00BD65B5">
        <w:rPr>
          <w:bCs/>
          <w:szCs w:val="24"/>
        </w:rPr>
        <w:t xml:space="preserve">further recycling household rubbish such as crisp packs, she also </w:t>
      </w:r>
      <w:r w:rsidR="00FB1ACF">
        <w:rPr>
          <w:bCs/>
          <w:szCs w:val="24"/>
        </w:rPr>
        <w:t xml:space="preserve">had </w:t>
      </w:r>
      <w:r w:rsidR="008A1004">
        <w:rPr>
          <w:bCs/>
          <w:szCs w:val="24"/>
        </w:rPr>
        <w:t xml:space="preserve">put an article in the Gossip </w:t>
      </w:r>
      <w:r w:rsidR="00BD65B5">
        <w:rPr>
          <w:bCs/>
          <w:szCs w:val="24"/>
        </w:rPr>
        <w:t xml:space="preserve">to look for volunteers to help with </w:t>
      </w:r>
      <w:r>
        <w:rPr>
          <w:bCs/>
          <w:szCs w:val="24"/>
        </w:rPr>
        <w:t>the project.</w:t>
      </w:r>
    </w:p>
    <w:p w:rsidR="00FB1ACF" w:rsidRPr="00FB1ACF" w:rsidRDefault="00FB1ACF" w:rsidP="00FB1ACF">
      <w:pPr>
        <w:spacing w:after="0" w:line="276" w:lineRule="auto"/>
      </w:pPr>
    </w:p>
    <w:p w:rsidR="0045516D" w:rsidRDefault="00124D5A" w:rsidP="0015265B">
      <w:pPr>
        <w:pStyle w:val="headings"/>
        <w:numPr>
          <w:ilvl w:val="0"/>
          <w:numId w:val="4"/>
        </w:numPr>
        <w:ind w:left="709"/>
        <w:rPr>
          <w:rFonts w:eastAsia="Times New Roman"/>
          <w:lang w:val="en-US" w:eastAsia="ar-SA"/>
        </w:rPr>
      </w:pPr>
      <w:r w:rsidRPr="00124D5A">
        <w:rPr>
          <w:rFonts w:eastAsia="Times New Roman"/>
          <w:lang w:val="en-US" w:eastAsia="ar-SA"/>
        </w:rPr>
        <w:t>Hornton Grounds Quarry Planning Conditions Enforcement</w:t>
      </w:r>
    </w:p>
    <w:p w:rsidR="0045516D" w:rsidRPr="001C07CD" w:rsidRDefault="00FB1ACF" w:rsidP="001C07CD">
      <w:r>
        <w:t xml:space="preserve">When reviewing the fuel depot planning application, </w:t>
      </w:r>
      <w:r w:rsidR="0045516D">
        <w:t>CDC planning committee members had concerns about worked out quarries being considered as industrial site</w:t>
      </w:r>
      <w:r>
        <w:t>s in perpetuity. Cllr. Woodcock would investigate if quarries which had</w:t>
      </w:r>
      <w:r w:rsidR="0045516D">
        <w:t xml:space="preserve"> planning conditio</w:t>
      </w:r>
      <w:r>
        <w:t xml:space="preserve">ns for restitution that had not </w:t>
      </w:r>
      <w:r w:rsidR="0045516D">
        <w:t>been obeyed</w:t>
      </w:r>
      <w:r w:rsidR="001C07CD">
        <w:t>.</w:t>
      </w:r>
      <w:r w:rsidR="001C07CD">
        <w:tab/>
      </w:r>
      <w:r w:rsidR="001C07CD">
        <w:tab/>
      </w:r>
      <w:r w:rsidR="001C07CD">
        <w:tab/>
      </w:r>
      <w:r w:rsidR="001C07CD">
        <w:tab/>
      </w:r>
      <w:r w:rsidR="001C07CD">
        <w:tab/>
      </w:r>
      <w:r w:rsidR="001C07CD">
        <w:tab/>
      </w:r>
      <w:r w:rsidR="001C07CD">
        <w:tab/>
      </w:r>
      <w:r w:rsidR="001C07CD">
        <w:tab/>
      </w:r>
      <w:r w:rsidR="001C07CD">
        <w:tab/>
      </w:r>
      <w:r w:rsidR="001C07CD">
        <w:tab/>
      </w:r>
      <w:r>
        <w:rPr>
          <w:b/>
        </w:rPr>
        <w:t>Action: SW</w:t>
      </w:r>
      <w:r>
        <w:t xml:space="preserve"> </w:t>
      </w:r>
    </w:p>
    <w:p w:rsidR="001454A8" w:rsidRDefault="00124D5A" w:rsidP="0015265B">
      <w:pPr>
        <w:pStyle w:val="headings"/>
        <w:numPr>
          <w:ilvl w:val="0"/>
          <w:numId w:val="4"/>
        </w:numPr>
        <w:ind w:left="709"/>
      </w:pPr>
      <w:r>
        <w:t>Extra dog bin</w:t>
      </w:r>
      <w:r w:rsidR="001454A8" w:rsidRPr="0040229C">
        <w:tab/>
      </w:r>
    </w:p>
    <w:p w:rsidR="0045516D" w:rsidRPr="00324F08" w:rsidRDefault="0045516D" w:rsidP="00324F08">
      <w:r>
        <w:t>Cllr. Burden</w:t>
      </w:r>
      <w:r w:rsidR="003170C4">
        <w:t xml:space="preserve"> reported </w:t>
      </w:r>
      <w:r w:rsidR="007D4BD8">
        <w:t>on his</w:t>
      </w:r>
      <w:r w:rsidRPr="0045516D">
        <w:t xml:space="preserve"> week</w:t>
      </w:r>
      <w:r w:rsidR="007D4BD8">
        <w:t>ly playground inspections when he emptied</w:t>
      </w:r>
      <w:r w:rsidRPr="0045516D">
        <w:t xml:space="preserve"> the </w:t>
      </w:r>
      <w:r w:rsidR="007D4BD8">
        <w:t>two playground bins also the two village green bins, these were</w:t>
      </w:r>
      <w:r w:rsidRPr="0045516D">
        <w:t xml:space="preserve"> a</w:t>
      </w:r>
      <w:r w:rsidR="007D4BD8">
        <w:t>pproximately 90% full of dog fouling</w:t>
      </w:r>
      <w:r w:rsidRPr="0045516D">
        <w:t xml:space="preserve"> bags. </w:t>
      </w:r>
      <w:r w:rsidR="007D4BD8">
        <w:t xml:space="preserve">The council </w:t>
      </w:r>
      <w:r w:rsidR="001C07CD">
        <w:rPr>
          <w:b/>
        </w:rPr>
        <w:t xml:space="preserve">approved </w:t>
      </w:r>
      <w:r w:rsidR="001C07CD">
        <w:t>the funding for</w:t>
      </w:r>
      <w:r w:rsidR="007D4BD8">
        <w:t xml:space="preserve"> an extra dog bin in the centre of the village due to the increase of dog population. Cllr. Burden would speak to the school if the PC could place a bin on the school wall because the dog fouling issued was raised by the school previously</w:t>
      </w:r>
      <w:r w:rsidR="001C07CD">
        <w:t>. Clerk would contact CDC for a new bin</w:t>
      </w:r>
      <w:r w:rsidR="00324F08">
        <w:t>.</w:t>
      </w:r>
      <w:r w:rsidR="007D4BD8">
        <w:tab/>
      </w:r>
      <w:r w:rsidR="007D4BD8">
        <w:tab/>
      </w:r>
      <w:r w:rsidR="007D4BD8">
        <w:tab/>
      </w:r>
      <w:r w:rsidR="007D4BD8">
        <w:tab/>
      </w:r>
      <w:r w:rsidR="007D4BD8">
        <w:tab/>
        <w:t xml:space="preserve">      </w:t>
      </w:r>
      <w:r w:rsidR="00324F08">
        <w:tab/>
      </w:r>
      <w:r w:rsidR="00324F08">
        <w:tab/>
      </w:r>
      <w:r w:rsidR="00324F08">
        <w:tab/>
      </w:r>
      <w:r w:rsidR="00324F08">
        <w:tab/>
      </w:r>
      <w:r w:rsidR="00324F08">
        <w:tab/>
      </w:r>
      <w:r w:rsidR="007D4BD8">
        <w:rPr>
          <w:b/>
        </w:rPr>
        <w:t>Action: PB/FD</w:t>
      </w:r>
    </w:p>
    <w:p w:rsidR="001454A8" w:rsidRDefault="00124D5A" w:rsidP="0015265B">
      <w:pPr>
        <w:pStyle w:val="headings"/>
        <w:numPr>
          <w:ilvl w:val="0"/>
          <w:numId w:val="4"/>
        </w:numPr>
        <w:ind w:left="709"/>
      </w:pPr>
      <w:r>
        <w:t>Pavilion</w:t>
      </w:r>
      <w:r w:rsidR="001454A8" w:rsidRPr="0040229C">
        <w:t xml:space="preserve"> Report</w:t>
      </w:r>
      <w:r w:rsidR="001454A8" w:rsidRPr="0040229C">
        <w:tab/>
      </w:r>
    </w:p>
    <w:p w:rsidR="00481190" w:rsidRDefault="001E3199" w:rsidP="00D13B69">
      <w:r>
        <w:lastRenderedPageBreak/>
        <w:t>Cllr. Overton hoped that the pavilion would be able to start to raise funds soon with heavy bills on heating maintenance. The committee would provide the PC quotes for further heating maintenance work.</w:t>
      </w:r>
    </w:p>
    <w:p w:rsidR="001F3CC8" w:rsidRDefault="001F3CC8" w:rsidP="00D13B69">
      <w:r>
        <w:t>It was reported to the council that there were wires hanging out of a light that had its cover off on the Pavilion, near the handrail section on the driveway side. There were also lights out of order along the concrete path to the bottle banks area/car park. The pavilion secretary was looking into this.</w:t>
      </w:r>
    </w:p>
    <w:p w:rsidR="005628B5" w:rsidRDefault="005628B5" w:rsidP="00D13B69">
      <w:r>
        <w:t>Cllr. Wain would plant some wild flowers on the bank of the football pitch path.</w:t>
      </w:r>
    </w:p>
    <w:p w:rsidR="003A3800" w:rsidRPr="0040229C" w:rsidRDefault="003A3800" w:rsidP="00D13B69">
      <w:r>
        <w:t>Cllr. Hewlett logged out due to connectivity issue at 9.12pm.</w:t>
      </w:r>
    </w:p>
    <w:p w:rsidR="001454A8" w:rsidRDefault="00124D5A" w:rsidP="001454A8">
      <w:pPr>
        <w:pStyle w:val="headings"/>
        <w:ind w:left="709"/>
      </w:pPr>
      <w:r>
        <w:t>Allotments report</w:t>
      </w:r>
    </w:p>
    <w:p w:rsidR="001E3199" w:rsidRDefault="001E3199" w:rsidP="001E3199">
      <w:r>
        <w:t xml:space="preserve">Cllr. Burden reported </w:t>
      </w:r>
      <w:r w:rsidR="005628B5">
        <w:t>all the connected IB</w:t>
      </w:r>
      <w:r>
        <w:t>C containers were nearl</w:t>
      </w:r>
      <w:r w:rsidR="00412672">
        <w:t xml:space="preserve">y full which would provide 1000 litres of water each if the weather </w:t>
      </w:r>
      <w:r w:rsidR="00B21E26">
        <w:t>is</w:t>
      </w:r>
      <w:r w:rsidR="00412672">
        <w:t xml:space="preserve"> dry.</w:t>
      </w:r>
    </w:p>
    <w:p w:rsidR="001E3199" w:rsidRDefault="00412672" w:rsidP="001E3199">
      <w:r>
        <w:t xml:space="preserve">Without Mr. Hemmings, the allotment </w:t>
      </w:r>
      <w:r w:rsidR="005628B5">
        <w:t xml:space="preserve">life </w:t>
      </w:r>
      <w:r>
        <w:t>would never be the same. H</w:t>
      </w:r>
      <w:r w:rsidR="005628B5">
        <w:t>e was a great inspiration</w:t>
      </w:r>
      <w:r>
        <w:t xml:space="preserve"> for the new holders</w:t>
      </w:r>
      <w:r w:rsidR="005628B5">
        <w:t xml:space="preserve"> with his knowledge and</w:t>
      </w:r>
      <w:r w:rsidR="009405A0">
        <w:t xml:space="preserve"> </w:t>
      </w:r>
      <w:r w:rsidR="005628B5">
        <w:t xml:space="preserve">he always </w:t>
      </w:r>
      <w:r w:rsidR="009405A0">
        <w:t>ke</w:t>
      </w:r>
      <w:r w:rsidR="005628B5">
        <w:t>pt tidiest plot. He mowed</w:t>
      </w:r>
      <w:r w:rsidR="009405A0">
        <w:t xml:space="preserve"> the lawns</w:t>
      </w:r>
      <w:r w:rsidR="005628B5">
        <w:t xml:space="preserve"> for many years. I was pleased to report</w:t>
      </w:r>
      <w:r w:rsidR="009405A0">
        <w:t xml:space="preserve"> that the plot would be kept by the family.</w:t>
      </w:r>
    </w:p>
    <w:p w:rsidR="001454A8" w:rsidRDefault="009405A0" w:rsidP="009405A0">
      <w:r>
        <w:t>The lawnmower would be serviced by Mr. Rossiter and the invoices for the replacement parts w</w:t>
      </w:r>
      <w:r w:rsidR="005628B5">
        <w:t>ould be presented to the RFO to repay</w:t>
      </w:r>
      <w:r>
        <w:t>.</w:t>
      </w:r>
    </w:p>
    <w:p w:rsidR="005628B5" w:rsidRPr="0040229C" w:rsidRDefault="005628B5" w:rsidP="009405A0">
      <w:r>
        <w:t xml:space="preserve">Regarding John Fox Charity, we had £5,800 to allocate to school. The school would provide Cllr. Burden with the proposal of the project. </w:t>
      </w:r>
      <w:r w:rsidR="001E2A10">
        <w:rPr>
          <w:rFonts w:eastAsia="Times New Roman"/>
        </w:rPr>
        <w:t>John Fox Charity are looking for a new governor and Andrew Overton has offered.</w:t>
      </w:r>
    </w:p>
    <w:p w:rsidR="00124D5A" w:rsidRPr="00124D5A" w:rsidRDefault="00124D5A" w:rsidP="00124D5A">
      <w:pPr>
        <w:pStyle w:val="headings"/>
        <w:ind w:left="709"/>
        <w:rPr>
          <w:rFonts w:eastAsia="Times New Roman"/>
          <w:sz w:val="24"/>
          <w:szCs w:val="24"/>
          <w:lang w:val="en-US" w:eastAsia="ar-SA"/>
        </w:rPr>
      </w:pPr>
      <w:r w:rsidRPr="00124D5A">
        <w:rPr>
          <w:rFonts w:eastAsia="Times New Roman"/>
          <w:lang w:val="en-US" w:eastAsia="ar-SA"/>
        </w:rPr>
        <w:t>Roads</w:t>
      </w:r>
      <w:r w:rsidRPr="00124D5A">
        <w:rPr>
          <w:rFonts w:eastAsia="Times New Roman"/>
          <w:sz w:val="24"/>
          <w:szCs w:val="24"/>
          <w:lang w:val="en-US" w:eastAsia="ar-SA"/>
        </w:rPr>
        <w:t xml:space="preserve"> &amp; </w:t>
      </w:r>
      <w:r w:rsidRPr="00124D5A">
        <w:t>Highways</w:t>
      </w:r>
      <w:r w:rsidRPr="00124D5A">
        <w:rPr>
          <w:rFonts w:eastAsia="Times New Roman"/>
          <w:sz w:val="24"/>
          <w:szCs w:val="24"/>
          <w:lang w:val="en-US" w:eastAsia="ar-SA"/>
        </w:rPr>
        <w:t xml:space="preserve"> </w:t>
      </w:r>
      <w:r w:rsidRPr="00124D5A">
        <w:rPr>
          <w:rFonts w:eastAsia="Times New Roman"/>
          <w:lang w:val="en-US" w:eastAsia="ar-SA"/>
        </w:rPr>
        <w:t>Report</w:t>
      </w:r>
      <w:r w:rsidRPr="00124D5A">
        <w:rPr>
          <w:rFonts w:eastAsia="Times New Roman"/>
          <w:sz w:val="24"/>
          <w:szCs w:val="24"/>
          <w:lang w:val="en-US" w:eastAsia="ar-SA"/>
        </w:rPr>
        <w:t xml:space="preserve"> </w:t>
      </w:r>
    </w:p>
    <w:p w:rsidR="009405A0" w:rsidRDefault="00544F4D" w:rsidP="009405A0">
      <w:r>
        <w:t>Cllr</w:t>
      </w:r>
      <w:r w:rsidR="009405A0">
        <w:t>. Overton reported that the ditches at the top of Millers Lane need to be dug deeper to prevent overflow water and mud running all the way down Millers Lane. Cllr. Burden suspected there were leak in some of the pipes</w:t>
      </w:r>
      <w:r w:rsidR="003A3800">
        <w:t xml:space="preserve"> because water running down even when it was not raining</w:t>
      </w:r>
      <w:r w:rsidR="009405A0">
        <w:t xml:space="preserve">. Cllr. Overton and Cllr. Burden would investigate what caused the overflow.             </w:t>
      </w:r>
    </w:p>
    <w:p w:rsidR="009405A0" w:rsidRPr="009405A0" w:rsidRDefault="009405A0" w:rsidP="009405A0">
      <w:pPr>
        <w:ind w:left="8640"/>
        <w:rPr>
          <w:b/>
        </w:rPr>
      </w:pPr>
      <w:r>
        <w:rPr>
          <w:b/>
        </w:rPr>
        <w:t>Action: AO/PB</w:t>
      </w:r>
    </w:p>
    <w:p w:rsidR="00124D5A" w:rsidRDefault="00124D5A" w:rsidP="00124D5A">
      <w:pPr>
        <w:pStyle w:val="headings"/>
        <w:ind w:left="709"/>
      </w:pPr>
      <w:r>
        <w:t>JUMPA Report</w:t>
      </w:r>
    </w:p>
    <w:p w:rsidR="0045516D" w:rsidRDefault="003A3800" w:rsidP="003A3800">
      <w:r>
        <w:t>JUMPA was closed. There was</w:t>
      </w:r>
      <w:r w:rsidR="00161699">
        <w:t xml:space="preserve"> </w:t>
      </w:r>
      <w:r w:rsidR="00B21E26">
        <w:t xml:space="preserve">a build-up of </w:t>
      </w:r>
      <w:r w:rsidR="00161699">
        <w:t xml:space="preserve">water </w:t>
      </w:r>
      <w:r>
        <w:t>next to JUMPA, it could just be it was damp at the moment.</w:t>
      </w:r>
    </w:p>
    <w:p w:rsidR="00124D5A" w:rsidRDefault="00124D5A" w:rsidP="00124D5A">
      <w:pPr>
        <w:pStyle w:val="headings"/>
        <w:ind w:left="709"/>
      </w:pPr>
      <w:r>
        <w:t>playground report</w:t>
      </w:r>
    </w:p>
    <w:p w:rsidR="00124D5A" w:rsidRDefault="003A3800" w:rsidP="003A3800">
      <w:r>
        <w:t>Weekly inspection had been carried out by Cllr. Burden. A meeting would be arranged in March if possible.</w:t>
      </w:r>
    </w:p>
    <w:p w:rsidR="00124D5A" w:rsidRDefault="00124D5A" w:rsidP="00124D5A">
      <w:pPr>
        <w:pStyle w:val="headings"/>
        <w:ind w:left="709"/>
      </w:pPr>
      <w:r>
        <w:t>AOB</w:t>
      </w:r>
    </w:p>
    <w:p w:rsidR="00161699" w:rsidRDefault="00124D5A" w:rsidP="00054CFD">
      <w:pPr>
        <w:spacing w:after="0" w:line="276" w:lineRule="auto"/>
        <w:rPr>
          <w:b/>
        </w:rPr>
      </w:pPr>
      <w:r>
        <w:rPr>
          <w:szCs w:val="24"/>
        </w:rPr>
        <w:t xml:space="preserve">23.1. </w:t>
      </w:r>
      <w:r w:rsidRPr="00941DB0">
        <w:rPr>
          <w:szCs w:val="24"/>
        </w:rPr>
        <w:t xml:space="preserve">Directional drill rig - </w:t>
      </w:r>
      <w:r w:rsidRPr="00124D5A">
        <w:t>Holloway</w:t>
      </w:r>
      <w:r w:rsidRPr="00941DB0">
        <w:rPr>
          <w:szCs w:val="24"/>
        </w:rPr>
        <w:t xml:space="preserve"> Cottages</w:t>
      </w:r>
      <w:r>
        <w:rPr>
          <w:b/>
        </w:rPr>
        <w:tab/>
      </w:r>
    </w:p>
    <w:p w:rsidR="00161699" w:rsidRPr="00E55590" w:rsidRDefault="00161699" w:rsidP="00161699">
      <w:pPr>
        <w:spacing w:after="200" w:line="276" w:lineRule="auto"/>
      </w:pPr>
      <w:r>
        <w:t xml:space="preserve">Mr. and Mrs. Higgins asked the PC ‘s permission locate a rig on </w:t>
      </w:r>
      <w:r w:rsidR="00E55590">
        <w:t xml:space="preserve">the grass by the external stop valve at the front of </w:t>
      </w:r>
      <w:r>
        <w:t>Holloway Cottages. The directional drill rig</w:t>
      </w:r>
      <w:r w:rsidR="00E55590">
        <w:t xml:space="preserve"> was needed to replace the leaking water pipe, it would not impede the road and for duration a few days. The PC </w:t>
      </w:r>
      <w:r w:rsidR="00E55590">
        <w:rPr>
          <w:b/>
        </w:rPr>
        <w:t>granted</w:t>
      </w:r>
      <w:r w:rsidR="00E55590">
        <w:t xml:space="preserve"> the permission.</w:t>
      </w:r>
    </w:p>
    <w:p w:rsidR="00E55590" w:rsidRDefault="00E55590" w:rsidP="00054CFD">
      <w:pPr>
        <w:pStyle w:val="NormalWeb"/>
        <w:spacing w:after="0" w:afterAutospacing="0"/>
      </w:pPr>
      <w:r>
        <w:rPr>
          <w:szCs w:val="24"/>
        </w:rPr>
        <w:t>23.2. Potholes</w:t>
      </w:r>
    </w:p>
    <w:p w:rsidR="00E55590" w:rsidRDefault="00E55590" w:rsidP="00E55590">
      <w:pPr>
        <w:pStyle w:val="NormalWeb"/>
        <w:spacing w:before="0" w:beforeAutospacing="0" w:after="0" w:afterAutospacing="0"/>
      </w:pPr>
      <w:r>
        <w:t>It was reported that two pothole</w:t>
      </w:r>
      <w:r w:rsidR="004F3E3F">
        <w:t>s outside the front of Holloway House need repairing - especially dangerous if walking in the dark</w:t>
      </w:r>
      <w:r>
        <w:t>. Cllr. Woodcock would log this on OCC fix-my-street.</w:t>
      </w:r>
    </w:p>
    <w:p w:rsidR="00054CFD" w:rsidRPr="00054CFD" w:rsidRDefault="00054CFD" w:rsidP="00E55590">
      <w:pPr>
        <w:pStyle w:val="NormalWeb"/>
        <w:spacing w:before="0" w:beforeAutospacing="0" w:after="0" w:afterAutospacing="0"/>
        <w:rPr>
          <w:b/>
        </w:rPr>
      </w:pPr>
      <w:r>
        <w:tab/>
      </w:r>
      <w:r>
        <w:tab/>
      </w:r>
      <w:r>
        <w:tab/>
      </w:r>
      <w:r>
        <w:tab/>
      </w:r>
      <w:r>
        <w:tab/>
      </w:r>
      <w:r>
        <w:tab/>
      </w:r>
      <w:r>
        <w:tab/>
      </w:r>
      <w:r>
        <w:tab/>
      </w:r>
      <w:r>
        <w:tab/>
      </w:r>
      <w:r>
        <w:tab/>
      </w:r>
      <w:r>
        <w:tab/>
      </w:r>
      <w:r>
        <w:tab/>
      </w:r>
      <w:r>
        <w:rPr>
          <w:b/>
        </w:rPr>
        <w:t>Action: SW</w:t>
      </w:r>
    </w:p>
    <w:p w:rsidR="0005117B" w:rsidRDefault="00E55590" w:rsidP="00054CFD">
      <w:pPr>
        <w:pStyle w:val="NormalWeb"/>
        <w:spacing w:before="0" w:beforeAutospacing="0" w:after="0" w:afterAutospacing="0"/>
      </w:pPr>
      <w:r>
        <w:tab/>
      </w:r>
      <w:r>
        <w:tab/>
      </w:r>
      <w:r>
        <w:tab/>
      </w:r>
      <w:r>
        <w:tab/>
      </w:r>
      <w:r>
        <w:tab/>
      </w:r>
      <w:r>
        <w:tab/>
      </w:r>
      <w:r>
        <w:tab/>
      </w:r>
      <w:r>
        <w:tab/>
      </w:r>
      <w:r>
        <w:tab/>
      </w:r>
      <w:r>
        <w:tab/>
      </w:r>
      <w:r>
        <w:tab/>
      </w:r>
    </w:p>
    <w:p w:rsidR="00054CFD" w:rsidRDefault="0005117B" w:rsidP="00E55590">
      <w:pPr>
        <w:pStyle w:val="NormalWeb"/>
        <w:spacing w:before="0" w:beforeAutospacing="0" w:after="0" w:afterAutospacing="0"/>
      </w:pPr>
      <w:r>
        <w:lastRenderedPageBreak/>
        <w:t xml:space="preserve">23.3. </w:t>
      </w:r>
      <w:r w:rsidR="00054CFD">
        <w:t>Bell Street Footpath</w:t>
      </w:r>
    </w:p>
    <w:p w:rsidR="00E55590" w:rsidRDefault="0005117B" w:rsidP="002D59FE">
      <w:pPr>
        <w:pStyle w:val="NormalWeb"/>
        <w:spacing w:before="0" w:beforeAutospacing="0" w:after="0" w:afterAutospacing="0"/>
      </w:pPr>
      <w:r>
        <w:t xml:space="preserve">The footpath on Bell Street was uneven and </w:t>
      </w:r>
      <w:r w:rsidR="00054CFD">
        <w:t>needed relaying. The clerk would contact OCC to investigate.</w:t>
      </w:r>
      <w:r w:rsidR="00054CFD">
        <w:tab/>
      </w:r>
      <w:r w:rsidR="00054CFD">
        <w:tab/>
      </w:r>
      <w:r w:rsidR="00054CFD">
        <w:tab/>
      </w:r>
      <w:r w:rsidR="00054CFD">
        <w:tab/>
      </w:r>
      <w:r w:rsidR="00054CFD">
        <w:tab/>
      </w:r>
      <w:r w:rsidR="00054CFD">
        <w:tab/>
      </w:r>
      <w:r w:rsidR="00054CFD">
        <w:tab/>
      </w:r>
      <w:r w:rsidR="00054CFD">
        <w:tab/>
      </w:r>
      <w:r w:rsidR="00054CFD">
        <w:tab/>
      </w:r>
      <w:r w:rsidR="00054CFD">
        <w:tab/>
      </w:r>
      <w:r w:rsidR="00054CFD">
        <w:tab/>
        <w:t xml:space="preserve"> </w:t>
      </w:r>
      <w:r w:rsidR="00054CFD">
        <w:rPr>
          <w:b/>
        </w:rPr>
        <w:t>Action: FD</w:t>
      </w:r>
    </w:p>
    <w:p w:rsidR="002D59FE" w:rsidRDefault="002D59FE" w:rsidP="002D59FE">
      <w:pPr>
        <w:pStyle w:val="NormalWeb"/>
        <w:spacing w:before="0" w:beforeAutospacing="0" w:after="0" w:afterAutospacing="0"/>
      </w:pPr>
    </w:p>
    <w:p w:rsidR="004F3E3F" w:rsidRDefault="003A3800" w:rsidP="004F3E3F">
      <w:r>
        <w:t>23.4. The council thanked Cind</w:t>
      </w:r>
      <w:r w:rsidR="00D01727">
        <w:t>y</w:t>
      </w:r>
      <w:r>
        <w:t xml:space="preserve">, the clerk for the past two years and welcomed </w:t>
      </w:r>
      <w:r w:rsidR="00D01727">
        <w:t>Fiona and Lisa on board.</w:t>
      </w:r>
    </w:p>
    <w:p w:rsidR="00561364" w:rsidRDefault="00561364" w:rsidP="001B67CA">
      <w:pPr>
        <w:pStyle w:val="headings"/>
        <w:numPr>
          <w:ilvl w:val="0"/>
          <w:numId w:val="0"/>
        </w:numPr>
      </w:pPr>
    </w:p>
    <w:p w:rsidR="0045516D" w:rsidRDefault="0045516D" w:rsidP="001B67CA">
      <w:pPr>
        <w:pStyle w:val="headings"/>
        <w:numPr>
          <w:ilvl w:val="0"/>
          <w:numId w:val="0"/>
        </w:numPr>
      </w:pPr>
    </w:p>
    <w:p w:rsidR="00561364" w:rsidRPr="00AF60DF" w:rsidRDefault="00561364" w:rsidP="001B67CA">
      <w:pPr>
        <w:pStyle w:val="headings"/>
        <w:numPr>
          <w:ilvl w:val="0"/>
          <w:numId w:val="0"/>
        </w:numPr>
      </w:pPr>
    </w:p>
    <w:p w:rsidR="00DD308C" w:rsidRPr="00AF60DF" w:rsidRDefault="00DD308C" w:rsidP="00272651">
      <w:pPr>
        <w:pStyle w:val="ListParagraph"/>
      </w:pPr>
      <w:r w:rsidRPr="00AF60DF">
        <w:t>FUTURE MEETING DATES</w:t>
      </w:r>
    </w:p>
    <w:p w:rsidR="00DD308C" w:rsidRPr="00AF60DF" w:rsidRDefault="00DD308C" w:rsidP="00272651">
      <w:pPr>
        <w:pStyle w:val="ListParagraph"/>
      </w:pPr>
      <w:r w:rsidRPr="00AF60DF">
        <w:t>T</w:t>
      </w:r>
      <w:r w:rsidR="009910EF" w:rsidRPr="00AF60DF">
        <w:t>he ne</w:t>
      </w:r>
      <w:r w:rsidR="0097105F">
        <w:t>xt meeting</w:t>
      </w:r>
      <w:r w:rsidR="00654411">
        <w:t xml:space="preserve"> will take place</w:t>
      </w:r>
      <w:r w:rsidR="004F3E3F">
        <w:t xml:space="preserve"> on 15</w:t>
      </w:r>
      <w:r w:rsidR="005D7562" w:rsidRPr="00AF60DF">
        <w:rPr>
          <w:vertAlign w:val="superscript"/>
        </w:rPr>
        <w:t>th</w:t>
      </w:r>
      <w:r w:rsidR="004F3E3F">
        <w:t xml:space="preserve"> March</w:t>
      </w:r>
      <w:r w:rsidR="00481190">
        <w:t xml:space="preserve"> 2021</w:t>
      </w:r>
      <w:r w:rsidR="0097105F">
        <w:t xml:space="preserve"> 7.30pm online</w:t>
      </w:r>
      <w:r w:rsidRPr="00AF60DF">
        <w:t>.</w:t>
      </w:r>
    </w:p>
    <w:p w:rsidR="004F3E3F" w:rsidRDefault="0097105F" w:rsidP="004F3E3F">
      <w:r>
        <w:t>The meeting closed a</w:t>
      </w:r>
      <w:r w:rsidR="00054CFD">
        <w:t>t 9.</w:t>
      </w:r>
      <w:r w:rsidR="00D01727">
        <w:t>32</w:t>
      </w:r>
      <w:r w:rsidR="00035FC8" w:rsidRPr="00AF60DF">
        <w:t>pm</w:t>
      </w:r>
    </w:p>
    <w:p w:rsidR="00A6796B" w:rsidRPr="00AF60DF" w:rsidRDefault="003D42C6" w:rsidP="001B67CA">
      <w:pPr>
        <w:pStyle w:val="ListParagraph"/>
      </w:pPr>
      <w:r w:rsidRPr="00AF60DF">
        <w:tab/>
      </w:r>
      <w:r w:rsidR="00054CFD">
        <w:tab/>
      </w:r>
      <w:r w:rsidR="00054CFD">
        <w:tab/>
      </w:r>
      <w:r w:rsidR="00054CFD">
        <w:tab/>
      </w:r>
      <w:r w:rsidR="00054CFD">
        <w:tab/>
      </w:r>
      <w:r w:rsidR="00054CFD">
        <w:tab/>
      </w:r>
      <w:r w:rsidR="00054CFD">
        <w:tab/>
      </w:r>
      <w:r w:rsidR="00054CFD">
        <w:tab/>
      </w:r>
      <w:r w:rsidR="00C228F1" w:rsidRPr="00AF60DF">
        <w:t>S</w:t>
      </w:r>
      <w:r w:rsidRPr="00AF60DF">
        <w:t xml:space="preserve">igned </w:t>
      </w:r>
      <w:r w:rsidR="00C228F1" w:rsidRPr="00AF60DF">
        <w:t>................................................</w:t>
      </w:r>
    </w:p>
    <w:sectPr w:rsidR="00A6796B" w:rsidRPr="00AF60DF" w:rsidSect="00196FE8">
      <w:footerReference w:type="default" r:id="rId37"/>
      <w:pgSz w:w="11906" w:h="16838"/>
      <w:pgMar w:top="1134" w:right="680"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F4" w:rsidRDefault="00AB10F4" w:rsidP="00272651">
      <w:r>
        <w:separator/>
      </w:r>
    </w:p>
  </w:endnote>
  <w:endnote w:type="continuationSeparator" w:id="0">
    <w:p w:rsidR="00AB10F4" w:rsidRDefault="00AB10F4" w:rsidP="002726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C3" w:rsidRDefault="004B08F2" w:rsidP="0097105F">
    <w:pPr>
      <w:pStyle w:val="Footer"/>
      <w:rPr>
        <w:noProof/>
      </w:rPr>
    </w:pPr>
    <w:fldSimple w:instr=" PAGE   \* MERGEFORMAT ">
      <w:r w:rsidR="00463FD6">
        <w:rPr>
          <w:noProof/>
        </w:rPr>
        <w:t>6</w:t>
      </w:r>
    </w:fldSimple>
    <w:r w:rsidR="00444EC3">
      <w:rPr>
        <w:noProof/>
      </w:rPr>
      <w:t>/9</w:t>
    </w:r>
  </w:p>
  <w:p w:rsidR="00444EC3" w:rsidRDefault="00444EC3" w:rsidP="00272651">
    <w:pPr>
      <w:pStyle w:val="Footer"/>
      <w:rPr>
        <w:noProof/>
      </w:rPr>
    </w:pPr>
  </w:p>
  <w:p w:rsidR="00444EC3" w:rsidRDefault="00444EC3" w:rsidP="00272651">
    <w:pPr>
      <w:pStyle w:val="Footer"/>
      <w:rPr>
        <w:noProof/>
      </w:rPr>
    </w:pPr>
  </w:p>
  <w:p w:rsidR="00444EC3" w:rsidRDefault="00444EC3" w:rsidP="00272651">
    <w:pPr>
      <w:pStyle w:val="Footer"/>
      <w:rPr>
        <w:noProof/>
      </w:rPr>
    </w:pPr>
  </w:p>
  <w:p w:rsidR="00444EC3" w:rsidRDefault="00444EC3" w:rsidP="00272651">
    <w:pPr>
      <w:pStyle w:val="Footer"/>
      <w:rPr>
        <w:noProof/>
      </w:rPr>
    </w:pPr>
  </w:p>
  <w:p w:rsidR="00444EC3" w:rsidRDefault="00444EC3" w:rsidP="00272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F4" w:rsidRDefault="00AB10F4" w:rsidP="00272651">
      <w:r>
        <w:separator/>
      </w:r>
    </w:p>
  </w:footnote>
  <w:footnote w:type="continuationSeparator" w:id="0">
    <w:p w:rsidR="00AB10F4" w:rsidRDefault="00AB10F4" w:rsidP="00272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1B469BD6"/>
    <w:name w:val="WW8Num9"/>
    <w:lvl w:ilvl="0">
      <w:start w:val="2"/>
      <w:numFmt w:val="decimal"/>
      <w:lvlText w:val="%1."/>
      <w:lvlJc w:val="left"/>
      <w:pPr>
        <w:tabs>
          <w:tab w:val="num" w:pos="454"/>
        </w:tabs>
        <w:ind w:left="454" w:hanging="454"/>
      </w:pPr>
      <w:rPr>
        <w:rFonts w:ascii="Arial" w:hAnsi="Arial" w:cs="Arial"/>
        <w:b/>
        <w:i w:val="0"/>
        <w:sz w:val="2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B4B84"/>
    <w:multiLevelType w:val="multilevel"/>
    <w:tmpl w:val="B616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F840B0"/>
    <w:multiLevelType w:val="multilevel"/>
    <w:tmpl w:val="91B44556"/>
    <w:lvl w:ilvl="0">
      <w:start w:val="1"/>
      <w:numFmt w:val="decimal"/>
      <w:pStyle w:val="headings"/>
      <w:lvlText w:val="%1."/>
      <w:lvlJc w:val="left"/>
      <w:pPr>
        <w:ind w:left="928" w:hanging="360"/>
      </w:pPr>
      <w:rPr>
        <w:rFonts w:hint="default"/>
        <w:b/>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98154EF"/>
    <w:multiLevelType w:val="hybridMultilevel"/>
    <w:tmpl w:val="A8FA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w15:presenceInfo w15:providerId="None" w15:userId="Stev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60EBD"/>
    <w:rsid w:val="00000599"/>
    <w:rsid w:val="00004FE3"/>
    <w:rsid w:val="000073C9"/>
    <w:rsid w:val="00010ED1"/>
    <w:rsid w:val="000114C5"/>
    <w:rsid w:val="00012D1B"/>
    <w:rsid w:val="00013A2D"/>
    <w:rsid w:val="00015EAA"/>
    <w:rsid w:val="0001751B"/>
    <w:rsid w:val="00020868"/>
    <w:rsid w:val="00020F38"/>
    <w:rsid w:val="00023728"/>
    <w:rsid w:val="00026574"/>
    <w:rsid w:val="000272F9"/>
    <w:rsid w:val="00030186"/>
    <w:rsid w:val="00030669"/>
    <w:rsid w:val="0003215E"/>
    <w:rsid w:val="00033889"/>
    <w:rsid w:val="00035DE5"/>
    <w:rsid w:val="00035FC8"/>
    <w:rsid w:val="00037D5F"/>
    <w:rsid w:val="00041E7F"/>
    <w:rsid w:val="0004212F"/>
    <w:rsid w:val="000439E3"/>
    <w:rsid w:val="00043F98"/>
    <w:rsid w:val="00044230"/>
    <w:rsid w:val="00044F03"/>
    <w:rsid w:val="0004518C"/>
    <w:rsid w:val="00046600"/>
    <w:rsid w:val="0005117B"/>
    <w:rsid w:val="000533C3"/>
    <w:rsid w:val="00054A2B"/>
    <w:rsid w:val="00054CFD"/>
    <w:rsid w:val="0005539B"/>
    <w:rsid w:val="00056237"/>
    <w:rsid w:val="00057914"/>
    <w:rsid w:val="00057B9C"/>
    <w:rsid w:val="00060B2E"/>
    <w:rsid w:val="00061B79"/>
    <w:rsid w:val="00061C2F"/>
    <w:rsid w:val="00062A66"/>
    <w:rsid w:val="0007098E"/>
    <w:rsid w:val="000729C0"/>
    <w:rsid w:val="000739BD"/>
    <w:rsid w:val="00076A4A"/>
    <w:rsid w:val="00080D2D"/>
    <w:rsid w:val="0008158D"/>
    <w:rsid w:val="00081D41"/>
    <w:rsid w:val="00082C43"/>
    <w:rsid w:val="000834E5"/>
    <w:rsid w:val="000878C7"/>
    <w:rsid w:val="0009233E"/>
    <w:rsid w:val="00092A3A"/>
    <w:rsid w:val="00092A77"/>
    <w:rsid w:val="000940C3"/>
    <w:rsid w:val="00095065"/>
    <w:rsid w:val="00097AA7"/>
    <w:rsid w:val="00097D76"/>
    <w:rsid w:val="000A38BC"/>
    <w:rsid w:val="000A575D"/>
    <w:rsid w:val="000A61BB"/>
    <w:rsid w:val="000A651F"/>
    <w:rsid w:val="000A6863"/>
    <w:rsid w:val="000A7FCA"/>
    <w:rsid w:val="000B006E"/>
    <w:rsid w:val="000B1185"/>
    <w:rsid w:val="000B2C4C"/>
    <w:rsid w:val="000B44AD"/>
    <w:rsid w:val="000B4FC7"/>
    <w:rsid w:val="000B5204"/>
    <w:rsid w:val="000C0306"/>
    <w:rsid w:val="000C23E3"/>
    <w:rsid w:val="000C2EF3"/>
    <w:rsid w:val="000C3F8F"/>
    <w:rsid w:val="000C425A"/>
    <w:rsid w:val="000C57D6"/>
    <w:rsid w:val="000C7056"/>
    <w:rsid w:val="000D0873"/>
    <w:rsid w:val="000D09C6"/>
    <w:rsid w:val="000D22F2"/>
    <w:rsid w:val="000D5A30"/>
    <w:rsid w:val="000D61C6"/>
    <w:rsid w:val="000D79FA"/>
    <w:rsid w:val="000D7E7C"/>
    <w:rsid w:val="000E010E"/>
    <w:rsid w:val="000E119E"/>
    <w:rsid w:val="000E24F6"/>
    <w:rsid w:val="000E2954"/>
    <w:rsid w:val="000E33B9"/>
    <w:rsid w:val="000E4787"/>
    <w:rsid w:val="000E6FD5"/>
    <w:rsid w:val="000F36C5"/>
    <w:rsid w:val="000F4028"/>
    <w:rsid w:val="000F40DC"/>
    <w:rsid w:val="000F4748"/>
    <w:rsid w:val="000F5ABA"/>
    <w:rsid w:val="000F745A"/>
    <w:rsid w:val="00100EDD"/>
    <w:rsid w:val="00110B61"/>
    <w:rsid w:val="00111746"/>
    <w:rsid w:val="00111C8B"/>
    <w:rsid w:val="00114641"/>
    <w:rsid w:val="001151E1"/>
    <w:rsid w:val="0012097E"/>
    <w:rsid w:val="001217BA"/>
    <w:rsid w:val="001221DF"/>
    <w:rsid w:val="001238A0"/>
    <w:rsid w:val="00124D5A"/>
    <w:rsid w:val="00125365"/>
    <w:rsid w:val="0012611D"/>
    <w:rsid w:val="001265D7"/>
    <w:rsid w:val="0012761B"/>
    <w:rsid w:val="0013198D"/>
    <w:rsid w:val="00131D10"/>
    <w:rsid w:val="001366AF"/>
    <w:rsid w:val="00140672"/>
    <w:rsid w:val="00141AAC"/>
    <w:rsid w:val="0014242F"/>
    <w:rsid w:val="001454A8"/>
    <w:rsid w:val="00146037"/>
    <w:rsid w:val="001463DB"/>
    <w:rsid w:val="001464AC"/>
    <w:rsid w:val="00146D03"/>
    <w:rsid w:val="00150684"/>
    <w:rsid w:val="001518F9"/>
    <w:rsid w:val="0015265B"/>
    <w:rsid w:val="00153AE5"/>
    <w:rsid w:val="00155AB8"/>
    <w:rsid w:val="00156926"/>
    <w:rsid w:val="00161459"/>
    <w:rsid w:val="00161699"/>
    <w:rsid w:val="0016535D"/>
    <w:rsid w:val="001679DE"/>
    <w:rsid w:val="0017089C"/>
    <w:rsid w:val="001742C0"/>
    <w:rsid w:val="00175EAE"/>
    <w:rsid w:val="00176073"/>
    <w:rsid w:val="0018017E"/>
    <w:rsid w:val="00180EA7"/>
    <w:rsid w:val="00182262"/>
    <w:rsid w:val="00183401"/>
    <w:rsid w:val="00184A09"/>
    <w:rsid w:val="00186EBE"/>
    <w:rsid w:val="001913F9"/>
    <w:rsid w:val="00196FE8"/>
    <w:rsid w:val="00197AE7"/>
    <w:rsid w:val="00197BAB"/>
    <w:rsid w:val="001A06B6"/>
    <w:rsid w:val="001A5982"/>
    <w:rsid w:val="001A7058"/>
    <w:rsid w:val="001A711B"/>
    <w:rsid w:val="001B1B5B"/>
    <w:rsid w:val="001B5E7B"/>
    <w:rsid w:val="001B67CA"/>
    <w:rsid w:val="001B6D1B"/>
    <w:rsid w:val="001B758F"/>
    <w:rsid w:val="001C07CD"/>
    <w:rsid w:val="001C07E1"/>
    <w:rsid w:val="001C144D"/>
    <w:rsid w:val="001C1751"/>
    <w:rsid w:val="001C37AB"/>
    <w:rsid w:val="001C4C01"/>
    <w:rsid w:val="001C6D8D"/>
    <w:rsid w:val="001D1AF1"/>
    <w:rsid w:val="001D285B"/>
    <w:rsid w:val="001D4599"/>
    <w:rsid w:val="001D544F"/>
    <w:rsid w:val="001D55BA"/>
    <w:rsid w:val="001D703A"/>
    <w:rsid w:val="001D7178"/>
    <w:rsid w:val="001D796A"/>
    <w:rsid w:val="001E0F61"/>
    <w:rsid w:val="001E2A10"/>
    <w:rsid w:val="001E3199"/>
    <w:rsid w:val="001E484F"/>
    <w:rsid w:val="001E5E88"/>
    <w:rsid w:val="001E790C"/>
    <w:rsid w:val="001E7D89"/>
    <w:rsid w:val="001F3CC8"/>
    <w:rsid w:val="001F453F"/>
    <w:rsid w:val="001F57C3"/>
    <w:rsid w:val="0020104D"/>
    <w:rsid w:val="002021E3"/>
    <w:rsid w:val="00203428"/>
    <w:rsid w:val="0020437A"/>
    <w:rsid w:val="00204ABE"/>
    <w:rsid w:val="00206508"/>
    <w:rsid w:val="00207057"/>
    <w:rsid w:val="002070CC"/>
    <w:rsid w:val="002121FE"/>
    <w:rsid w:val="00212CCB"/>
    <w:rsid w:val="00213294"/>
    <w:rsid w:val="00213DBC"/>
    <w:rsid w:val="00215A71"/>
    <w:rsid w:val="00217ECD"/>
    <w:rsid w:val="00221AF2"/>
    <w:rsid w:val="00223CD2"/>
    <w:rsid w:val="00227913"/>
    <w:rsid w:val="0023006F"/>
    <w:rsid w:val="0023167D"/>
    <w:rsid w:val="0023188F"/>
    <w:rsid w:val="002327CA"/>
    <w:rsid w:val="0023560B"/>
    <w:rsid w:val="00236AAD"/>
    <w:rsid w:val="00237E50"/>
    <w:rsid w:val="00242B0A"/>
    <w:rsid w:val="0024608A"/>
    <w:rsid w:val="002472B7"/>
    <w:rsid w:val="00252358"/>
    <w:rsid w:val="002600BD"/>
    <w:rsid w:val="00260622"/>
    <w:rsid w:val="0026235F"/>
    <w:rsid w:val="00267969"/>
    <w:rsid w:val="00272651"/>
    <w:rsid w:val="002804F0"/>
    <w:rsid w:val="0028177E"/>
    <w:rsid w:val="00282792"/>
    <w:rsid w:val="00284A0A"/>
    <w:rsid w:val="002902DA"/>
    <w:rsid w:val="00290913"/>
    <w:rsid w:val="002938F3"/>
    <w:rsid w:val="00293DE8"/>
    <w:rsid w:val="0029660F"/>
    <w:rsid w:val="002A0427"/>
    <w:rsid w:val="002A3286"/>
    <w:rsid w:val="002A5E1A"/>
    <w:rsid w:val="002B230E"/>
    <w:rsid w:val="002B308E"/>
    <w:rsid w:val="002B507F"/>
    <w:rsid w:val="002C13DE"/>
    <w:rsid w:val="002C56B7"/>
    <w:rsid w:val="002D5612"/>
    <w:rsid w:val="002D59FE"/>
    <w:rsid w:val="002D7492"/>
    <w:rsid w:val="002E0111"/>
    <w:rsid w:val="002E12B2"/>
    <w:rsid w:val="002E2B22"/>
    <w:rsid w:val="002E6D21"/>
    <w:rsid w:val="002F009D"/>
    <w:rsid w:val="003028C6"/>
    <w:rsid w:val="00302E47"/>
    <w:rsid w:val="0030313B"/>
    <w:rsid w:val="00303A07"/>
    <w:rsid w:val="00306A91"/>
    <w:rsid w:val="00307BD3"/>
    <w:rsid w:val="0031119F"/>
    <w:rsid w:val="00313624"/>
    <w:rsid w:val="003170C4"/>
    <w:rsid w:val="003205E4"/>
    <w:rsid w:val="00322632"/>
    <w:rsid w:val="00322772"/>
    <w:rsid w:val="00324F08"/>
    <w:rsid w:val="00327E85"/>
    <w:rsid w:val="00341938"/>
    <w:rsid w:val="00341BFC"/>
    <w:rsid w:val="003454AF"/>
    <w:rsid w:val="0034693E"/>
    <w:rsid w:val="00350C92"/>
    <w:rsid w:val="00353B89"/>
    <w:rsid w:val="00353E3E"/>
    <w:rsid w:val="00357059"/>
    <w:rsid w:val="003613D2"/>
    <w:rsid w:val="00365F60"/>
    <w:rsid w:val="00371C6A"/>
    <w:rsid w:val="0037274F"/>
    <w:rsid w:val="003738D5"/>
    <w:rsid w:val="00373ED9"/>
    <w:rsid w:val="003740D3"/>
    <w:rsid w:val="003749BD"/>
    <w:rsid w:val="00374BF4"/>
    <w:rsid w:val="00375B3B"/>
    <w:rsid w:val="00375DDA"/>
    <w:rsid w:val="0037652F"/>
    <w:rsid w:val="003779F8"/>
    <w:rsid w:val="00377A6E"/>
    <w:rsid w:val="0038048B"/>
    <w:rsid w:val="003809FF"/>
    <w:rsid w:val="00381192"/>
    <w:rsid w:val="003855A2"/>
    <w:rsid w:val="00387785"/>
    <w:rsid w:val="003908CB"/>
    <w:rsid w:val="00393891"/>
    <w:rsid w:val="00395956"/>
    <w:rsid w:val="00397CF1"/>
    <w:rsid w:val="003A08F5"/>
    <w:rsid w:val="003A11A8"/>
    <w:rsid w:val="003A2DC5"/>
    <w:rsid w:val="003A33D8"/>
    <w:rsid w:val="003A3800"/>
    <w:rsid w:val="003A4936"/>
    <w:rsid w:val="003B004D"/>
    <w:rsid w:val="003B092E"/>
    <w:rsid w:val="003B0BC5"/>
    <w:rsid w:val="003B25FF"/>
    <w:rsid w:val="003B3050"/>
    <w:rsid w:val="003B4232"/>
    <w:rsid w:val="003B5C4E"/>
    <w:rsid w:val="003B7620"/>
    <w:rsid w:val="003C0F4D"/>
    <w:rsid w:val="003C1773"/>
    <w:rsid w:val="003C2328"/>
    <w:rsid w:val="003C3359"/>
    <w:rsid w:val="003C7FC0"/>
    <w:rsid w:val="003D03D3"/>
    <w:rsid w:val="003D099D"/>
    <w:rsid w:val="003D3A66"/>
    <w:rsid w:val="003D4025"/>
    <w:rsid w:val="003D42C6"/>
    <w:rsid w:val="003D4B0F"/>
    <w:rsid w:val="003D53AB"/>
    <w:rsid w:val="003E38FE"/>
    <w:rsid w:val="003E41B4"/>
    <w:rsid w:val="003E4DAD"/>
    <w:rsid w:val="003E56E5"/>
    <w:rsid w:val="003E5C48"/>
    <w:rsid w:val="003E7AEF"/>
    <w:rsid w:val="003F2D80"/>
    <w:rsid w:val="003F431E"/>
    <w:rsid w:val="003F4639"/>
    <w:rsid w:val="003F62C5"/>
    <w:rsid w:val="003F72A3"/>
    <w:rsid w:val="00403A7A"/>
    <w:rsid w:val="00404274"/>
    <w:rsid w:val="00404B59"/>
    <w:rsid w:val="00404CFD"/>
    <w:rsid w:val="004051D7"/>
    <w:rsid w:val="004069F7"/>
    <w:rsid w:val="004075A2"/>
    <w:rsid w:val="00412672"/>
    <w:rsid w:val="00413809"/>
    <w:rsid w:val="00414549"/>
    <w:rsid w:val="00414655"/>
    <w:rsid w:val="00414FE8"/>
    <w:rsid w:val="00415857"/>
    <w:rsid w:val="004170D2"/>
    <w:rsid w:val="004214F7"/>
    <w:rsid w:val="004219BC"/>
    <w:rsid w:val="00421F64"/>
    <w:rsid w:val="004238A7"/>
    <w:rsid w:val="00423B60"/>
    <w:rsid w:val="004251A1"/>
    <w:rsid w:val="00425389"/>
    <w:rsid w:val="004409F8"/>
    <w:rsid w:val="00441DBB"/>
    <w:rsid w:val="004438AD"/>
    <w:rsid w:val="00444EC3"/>
    <w:rsid w:val="00445735"/>
    <w:rsid w:val="00445AAB"/>
    <w:rsid w:val="0045516D"/>
    <w:rsid w:val="004551CC"/>
    <w:rsid w:val="004554C8"/>
    <w:rsid w:val="00455918"/>
    <w:rsid w:val="00456A7F"/>
    <w:rsid w:val="00460452"/>
    <w:rsid w:val="004616D0"/>
    <w:rsid w:val="0046285E"/>
    <w:rsid w:val="00463500"/>
    <w:rsid w:val="00463FD6"/>
    <w:rsid w:val="00464B48"/>
    <w:rsid w:val="00465479"/>
    <w:rsid w:val="0047374B"/>
    <w:rsid w:val="00481190"/>
    <w:rsid w:val="00481D7F"/>
    <w:rsid w:val="00482EEE"/>
    <w:rsid w:val="00482FA6"/>
    <w:rsid w:val="00487678"/>
    <w:rsid w:val="00490271"/>
    <w:rsid w:val="00491FD7"/>
    <w:rsid w:val="00495C68"/>
    <w:rsid w:val="00497DD5"/>
    <w:rsid w:val="004A0E52"/>
    <w:rsid w:val="004A15A4"/>
    <w:rsid w:val="004A162C"/>
    <w:rsid w:val="004A2543"/>
    <w:rsid w:val="004A2572"/>
    <w:rsid w:val="004A27E3"/>
    <w:rsid w:val="004A4498"/>
    <w:rsid w:val="004A586E"/>
    <w:rsid w:val="004A62E9"/>
    <w:rsid w:val="004A68B7"/>
    <w:rsid w:val="004B08F2"/>
    <w:rsid w:val="004B29A9"/>
    <w:rsid w:val="004B4E16"/>
    <w:rsid w:val="004B5E90"/>
    <w:rsid w:val="004B640D"/>
    <w:rsid w:val="004C0E8D"/>
    <w:rsid w:val="004C1B49"/>
    <w:rsid w:val="004C70B2"/>
    <w:rsid w:val="004C79AD"/>
    <w:rsid w:val="004D0B39"/>
    <w:rsid w:val="004D0DD2"/>
    <w:rsid w:val="004D225D"/>
    <w:rsid w:val="004D436F"/>
    <w:rsid w:val="004D49DE"/>
    <w:rsid w:val="004D5FBE"/>
    <w:rsid w:val="004D6B61"/>
    <w:rsid w:val="004D6B67"/>
    <w:rsid w:val="004E10AD"/>
    <w:rsid w:val="004E1154"/>
    <w:rsid w:val="004E29C5"/>
    <w:rsid w:val="004E5592"/>
    <w:rsid w:val="004F106F"/>
    <w:rsid w:val="004F20D1"/>
    <w:rsid w:val="004F236D"/>
    <w:rsid w:val="004F3E3F"/>
    <w:rsid w:val="004F5CE3"/>
    <w:rsid w:val="00504871"/>
    <w:rsid w:val="00504CDF"/>
    <w:rsid w:val="005125C8"/>
    <w:rsid w:val="00512DE5"/>
    <w:rsid w:val="00516B07"/>
    <w:rsid w:val="00517B99"/>
    <w:rsid w:val="00521241"/>
    <w:rsid w:val="00526986"/>
    <w:rsid w:val="0052738A"/>
    <w:rsid w:val="00527451"/>
    <w:rsid w:val="0053101A"/>
    <w:rsid w:val="00531C83"/>
    <w:rsid w:val="005402A3"/>
    <w:rsid w:val="0054217E"/>
    <w:rsid w:val="005435FC"/>
    <w:rsid w:val="00544E12"/>
    <w:rsid w:val="00544F4D"/>
    <w:rsid w:val="0054537D"/>
    <w:rsid w:val="00545F15"/>
    <w:rsid w:val="005462AB"/>
    <w:rsid w:val="005529A5"/>
    <w:rsid w:val="00553AFA"/>
    <w:rsid w:val="00561364"/>
    <w:rsid w:val="00561E30"/>
    <w:rsid w:val="005628B5"/>
    <w:rsid w:val="00563673"/>
    <w:rsid w:val="00565795"/>
    <w:rsid w:val="00565AD3"/>
    <w:rsid w:val="00572638"/>
    <w:rsid w:val="0057396B"/>
    <w:rsid w:val="00576B30"/>
    <w:rsid w:val="0058064F"/>
    <w:rsid w:val="0058194C"/>
    <w:rsid w:val="0058198A"/>
    <w:rsid w:val="00582902"/>
    <w:rsid w:val="0058498F"/>
    <w:rsid w:val="00585534"/>
    <w:rsid w:val="00586A0E"/>
    <w:rsid w:val="00586A9A"/>
    <w:rsid w:val="00587C65"/>
    <w:rsid w:val="005917CB"/>
    <w:rsid w:val="00594393"/>
    <w:rsid w:val="005A0AF4"/>
    <w:rsid w:val="005A450E"/>
    <w:rsid w:val="005A5DA7"/>
    <w:rsid w:val="005B2759"/>
    <w:rsid w:val="005C18F8"/>
    <w:rsid w:val="005C5B1A"/>
    <w:rsid w:val="005C65CC"/>
    <w:rsid w:val="005C7105"/>
    <w:rsid w:val="005D0E21"/>
    <w:rsid w:val="005D208E"/>
    <w:rsid w:val="005D22E3"/>
    <w:rsid w:val="005D26E0"/>
    <w:rsid w:val="005D3301"/>
    <w:rsid w:val="005D53AC"/>
    <w:rsid w:val="005D5846"/>
    <w:rsid w:val="005D7421"/>
    <w:rsid w:val="005D7562"/>
    <w:rsid w:val="005D7E00"/>
    <w:rsid w:val="005E25DD"/>
    <w:rsid w:val="005E2C34"/>
    <w:rsid w:val="005E4642"/>
    <w:rsid w:val="005E5836"/>
    <w:rsid w:val="005F036F"/>
    <w:rsid w:val="005F0712"/>
    <w:rsid w:val="005F0DE2"/>
    <w:rsid w:val="005F2609"/>
    <w:rsid w:val="005F4304"/>
    <w:rsid w:val="005F6912"/>
    <w:rsid w:val="005F7CCA"/>
    <w:rsid w:val="00601591"/>
    <w:rsid w:val="006060E3"/>
    <w:rsid w:val="00610B03"/>
    <w:rsid w:val="00612FA5"/>
    <w:rsid w:val="006144D8"/>
    <w:rsid w:val="0061569A"/>
    <w:rsid w:val="006162A3"/>
    <w:rsid w:val="006162DE"/>
    <w:rsid w:val="00617D59"/>
    <w:rsid w:val="006208B4"/>
    <w:rsid w:val="0062153C"/>
    <w:rsid w:val="00625965"/>
    <w:rsid w:val="00626FE1"/>
    <w:rsid w:val="00627BC1"/>
    <w:rsid w:val="0063442A"/>
    <w:rsid w:val="0063528C"/>
    <w:rsid w:val="00635D56"/>
    <w:rsid w:val="00641FF1"/>
    <w:rsid w:val="00642459"/>
    <w:rsid w:val="00642E7D"/>
    <w:rsid w:val="0064598D"/>
    <w:rsid w:val="006472CE"/>
    <w:rsid w:val="00647537"/>
    <w:rsid w:val="00650FDF"/>
    <w:rsid w:val="00651B57"/>
    <w:rsid w:val="00653B13"/>
    <w:rsid w:val="00653D4E"/>
    <w:rsid w:val="00653E39"/>
    <w:rsid w:val="00654411"/>
    <w:rsid w:val="00656785"/>
    <w:rsid w:val="00662E95"/>
    <w:rsid w:val="006635EF"/>
    <w:rsid w:val="00670201"/>
    <w:rsid w:val="0067363A"/>
    <w:rsid w:val="00676754"/>
    <w:rsid w:val="00676ABE"/>
    <w:rsid w:val="0067743B"/>
    <w:rsid w:val="00683B48"/>
    <w:rsid w:val="00683BF3"/>
    <w:rsid w:val="00684AC9"/>
    <w:rsid w:val="0069097A"/>
    <w:rsid w:val="00693E8B"/>
    <w:rsid w:val="00694F5E"/>
    <w:rsid w:val="00696577"/>
    <w:rsid w:val="00697D85"/>
    <w:rsid w:val="006A37D0"/>
    <w:rsid w:val="006A3C66"/>
    <w:rsid w:val="006A630F"/>
    <w:rsid w:val="006B136D"/>
    <w:rsid w:val="006B1E28"/>
    <w:rsid w:val="006B1F45"/>
    <w:rsid w:val="006B290F"/>
    <w:rsid w:val="006B2B14"/>
    <w:rsid w:val="006B414A"/>
    <w:rsid w:val="006B6595"/>
    <w:rsid w:val="006C0DD7"/>
    <w:rsid w:val="006C0E14"/>
    <w:rsid w:val="006C332A"/>
    <w:rsid w:val="006C51E7"/>
    <w:rsid w:val="006C551E"/>
    <w:rsid w:val="006C605D"/>
    <w:rsid w:val="006D3A7A"/>
    <w:rsid w:val="006D72D6"/>
    <w:rsid w:val="006D7C85"/>
    <w:rsid w:val="006E098A"/>
    <w:rsid w:val="006E2D2E"/>
    <w:rsid w:val="006E5228"/>
    <w:rsid w:val="006E71F7"/>
    <w:rsid w:val="006F0BC4"/>
    <w:rsid w:val="006F1B16"/>
    <w:rsid w:val="006F2746"/>
    <w:rsid w:val="006F3DC4"/>
    <w:rsid w:val="006F702F"/>
    <w:rsid w:val="006F7E3D"/>
    <w:rsid w:val="00700512"/>
    <w:rsid w:val="00700E11"/>
    <w:rsid w:val="00703E35"/>
    <w:rsid w:val="00713411"/>
    <w:rsid w:val="007160BD"/>
    <w:rsid w:val="00717C68"/>
    <w:rsid w:val="007207CF"/>
    <w:rsid w:val="00725132"/>
    <w:rsid w:val="00725AF3"/>
    <w:rsid w:val="007335CC"/>
    <w:rsid w:val="00733EA7"/>
    <w:rsid w:val="00734E09"/>
    <w:rsid w:val="00736DF2"/>
    <w:rsid w:val="00737414"/>
    <w:rsid w:val="007411E2"/>
    <w:rsid w:val="007442A6"/>
    <w:rsid w:val="00745246"/>
    <w:rsid w:val="0074679F"/>
    <w:rsid w:val="00750C4B"/>
    <w:rsid w:val="00751423"/>
    <w:rsid w:val="007520AA"/>
    <w:rsid w:val="00753992"/>
    <w:rsid w:val="00754EFC"/>
    <w:rsid w:val="007626D5"/>
    <w:rsid w:val="007632E4"/>
    <w:rsid w:val="00765AE7"/>
    <w:rsid w:val="0076716E"/>
    <w:rsid w:val="007675FF"/>
    <w:rsid w:val="00770E4A"/>
    <w:rsid w:val="00772B30"/>
    <w:rsid w:val="00775C5A"/>
    <w:rsid w:val="00780D7E"/>
    <w:rsid w:val="007813E9"/>
    <w:rsid w:val="007822C6"/>
    <w:rsid w:val="007862A6"/>
    <w:rsid w:val="00787F97"/>
    <w:rsid w:val="0079261B"/>
    <w:rsid w:val="007935F4"/>
    <w:rsid w:val="00795BF1"/>
    <w:rsid w:val="0079620E"/>
    <w:rsid w:val="007A3E52"/>
    <w:rsid w:val="007A5ACA"/>
    <w:rsid w:val="007A70CD"/>
    <w:rsid w:val="007A71DF"/>
    <w:rsid w:val="007B1164"/>
    <w:rsid w:val="007B57D1"/>
    <w:rsid w:val="007B5C9D"/>
    <w:rsid w:val="007C161D"/>
    <w:rsid w:val="007C2767"/>
    <w:rsid w:val="007C284A"/>
    <w:rsid w:val="007C2DD4"/>
    <w:rsid w:val="007C3C6A"/>
    <w:rsid w:val="007C49A4"/>
    <w:rsid w:val="007C6A4C"/>
    <w:rsid w:val="007C757D"/>
    <w:rsid w:val="007D21B9"/>
    <w:rsid w:val="007D3E28"/>
    <w:rsid w:val="007D4BD8"/>
    <w:rsid w:val="007E0053"/>
    <w:rsid w:val="007E16EC"/>
    <w:rsid w:val="007E3A44"/>
    <w:rsid w:val="007E46B0"/>
    <w:rsid w:val="007E5507"/>
    <w:rsid w:val="007E7559"/>
    <w:rsid w:val="007F14D8"/>
    <w:rsid w:val="007F349A"/>
    <w:rsid w:val="007F3DCD"/>
    <w:rsid w:val="007F4128"/>
    <w:rsid w:val="007F4E8A"/>
    <w:rsid w:val="007F7C6A"/>
    <w:rsid w:val="007F7E58"/>
    <w:rsid w:val="008004A7"/>
    <w:rsid w:val="00800556"/>
    <w:rsid w:val="008016CA"/>
    <w:rsid w:val="00801882"/>
    <w:rsid w:val="0080271B"/>
    <w:rsid w:val="0080299C"/>
    <w:rsid w:val="00802D36"/>
    <w:rsid w:val="00803F04"/>
    <w:rsid w:val="008045A0"/>
    <w:rsid w:val="00806EF0"/>
    <w:rsid w:val="008077DF"/>
    <w:rsid w:val="00810641"/>
    <w:rsid w:val="00810940"/>
    <w:rsid w:val="00810EDE"/>
    <w:rsid w:val="008116C2"/>
    <w:rsid w:val="00816506"/>
    <w:rsid w:val="00817F0D"/>
    <w:rsid w:val="00820DD6"/>
    <w:rsid w:val="00823294"/>
    <w:rsid w:val="00823A85"/>
    <w:rsid w:val="00826955"/>
    <w:rsid w:val="00827C18"/>
    <w:rsid w:val="008307DA"/>
    <w:rsid w:val="008320D0"/>
    <w:rsid w:val="00833458"/>
    <w:rsid w:val="008334D5"/>
    <w:rsid w:val="008349DC"/>
    <w:rsid w:val="00834AEA"/>
    <w:rsid w:val="008431A7"/>
    <w:rsid w:val="00843BF4"/>
    <w:rsid w:val="008443E2"/>
    <w:rsid w:val="008447E7"/>
    <w:rsid w:val="00847092"/>
    <w:rsid w:val="00847AE4"/>
    <w:rsid w:val="0085018C"/>
    <w:rsid w:val="008521F9"/>
    <w:rsid w:val="0085381F"/>
    <w:rsid w:val="00855270"/>
    <w:rsid w:val="00855499"/>
    <w:rsid w:val="00860470"/>
    <w:rsid w:val="0086104E"/>
    <w:rsid w:val="00863773"/>
    <w:rsid w:val="008650EA"/>
    <w:rsid w:val="008664D4"/>
    <w:rsid w:val="008728D9"/>
    <w:rsid w:val="00872FB3"/>
    <w:rsid w:val="00873068"/>
    <w:rsid w:val="008741DF"/>
    <w:rsid w:val="00875D93"/>
    <w:rsid w:val="00880A19"/>
    <w:rsid w:val="00880C6D"/>
    <w:rsid w:val="0088373B"/>
    <w:rsid w:val="008856E9"/>
    <w:rsid w:val="008875E2"/>
    <w:rsid w:val="00890857"/>
    <w:rsid w:val="00891B14"/>
    <w:rsid w:val="00892CAA"/>
    <w:rsid w:val="0089706E"/>
    <w:rsid w:val="00897512"/>
    <w:rsid w:val="008A1004"/>
    <w:rsid w:val="008A129C"/>
    <w:rsid w:val="008A291E"/>
    <w:rsid w:val="008A51B2"/>
    <w:rsid w:val="008A7D4E"/>
    <w:rsid w:val="008B1FC7"/>
    <w:rsid w:val="008B20F9"/>
    <w:rsid w:val="008B23BB"/>
    <w:rsid w:val="008B23D5"/>
    <w:rsid w:val="008B299A"/>
    <w:rsid w:val="008B33EC"/>
    <w:rsid w:val="008B6DA3"/>
    <w:rsid w:val="008C1970"/>
    <w:rsid w:val="008C501D"/>
    <w:rsid w:val="008C5E26"/>
    <w:rsid w:val="008C6F51"/>
    <w:rsid w:val="008D006C"/>
    <w:rsid w:val="008D0CD2"/>
    <w:rsid w:val="008D192C"/>
    <w:rsid w:val="008D7265"/>
    <w:rsid w:val="008E079F"/>
    <w:rsid w:val="008E476B"/>
    <w:rsid w:val="008E4DAD"/>
    <w:rsid w:val="008E6917"/>
    <w:rsid w:val="008E6EC2"/>
    <w:rsid w:val="008E6F17"/>
    <w:rsid w:val="008E7B26"/>
    <w:rsid w:val="008F1367"/>
    <w:rsid w:val="008F17D2"/>
    <w:rsid w:val="008F46DC"/>
    <w:rsid w:val="008F5C29"/>
    <w:rsid w:val="008F7676"/>
    <w:rsid w:val="008F7AEE"/>
    <w:rsid w:val="0090051F"/>
    <w:rsid w:val="00902988"/>
    <w:rsid w:val="009045F2"/>
    <w:rsid w:val="00907893"/>
    <w:rsid w:val="00911101"/>
    <w:rsid w:val="00911358"/>
    <w:rsid w:val="00913A23"/>
    <w:rsid w:val="0091697A"/>
    <w:rsid w:val="00921361"/>
    <w:rsid w:val="0092204F"/>
    <w:rsid w:val="0092329E"/>
    <w:rsid w:val="00923454"/>
    <w:rsid w:val="00923E66"/>
    <w:rsid w:val="00925DE7"/>
    <w:rsid w:val="009307F6"/>
    <w:rsid w:val="00931286"/>
    <w:rsid w:val="00932715"/>
    <w:rsid w:val="00932C2B"/>
    <w:rsid w:val="009334C0"/>
    <w:rsid w:val="009355E5"/>
    <w:rsid w:val="009405A0"/>
    <w:rsid w:val="00941BBD"/>
    <w:rsid w:val="00944142"/>
    <w:rsid w:val="00944CA0"/>
    <w:rsid w:val="00945FD0"/>
    <w:rsid w:val="00946200"/>
    <w:rsid w:val="00950436"/>
    <w:rsid w:val="009513B0"/>
    <w:rsid w:val="00952BC2"/>
    <w:rsid w:val="00956312"/>
    <w:rsid w:val="00961FDC"/>
    <w:rsid w:val="0096263B"/>
    <w:rsid w:val="009708CC"/>
    <w:rsid w:val="00970EBF"/>
    <w:rsid w:val="0097105F"/>
    <w:rsid w:val="00975A46"/>
    <w:rsid w:val="00975A70"/>
    <w:rsid w:val="00983563"/>
    <w:rsid w:val="00983FA4"/>
    <w:rsid w:val="009902C5"/>
    <w:rsid w:val="00990687"/>
    <w:rsid w:val="009910EF"/>
    <w:rsid w:val="00991C84"/>
    <w:rsid w:val="0099345E"/>
    <w:rsid w:val="0099560D"/>
    <w:rsid w:val="009963C8"/>
    <w:rsid w:val="00996666"/>
    <w:rsid w:val="0099705D"/>
    <w:rsid w:val="009A3828"/>
    <w:rsid w:val="009A406C"/>
    <w:rsid w:val="009A64A7"/>
    <w:rsid w:val="009A74A9"/>
    <w:rsid w:val="009B00D3"/>
    <w:rsid w:val="009B205B"/>
    <w:rsid w:val="009B374E"/>
    <w:rsid w:val="009B3B72"/>
    <w:rsid w:val="009C1248"/>
    <w:rsid w:val="009C20B5"/>
    <w:rsid w:val="009C2965"/>
    <w:rsid w:val="009C3A3C"/>
    <w:rsid w:val="009C55B3"/>
    <w:rsid w:val="009C6A18"/>
    <w:rsid w:val="009C6D9F"/>
    <w:rsid w:val="009D0847"/>
    <w:rsid w:val="009D095A"/>
    <w:rsid w:val="009D43EF"/>
    <w:rsid w:val="009D763D"/>
    <w:rsid w:val="009E25DB"/>
    <w:rsid w:val="009E54C7"/>
    <w:rsid w:val="009F0649"/>
    <w:rsid w:val="009F0F0E"/>
    <w:rsid w:val="009F10EF"/>
    <w:rsid w:val="009F15FB"/>
    <w:rsid w:val="009F2F49"/>
    <w:rsid w:val="009F376F"/>
    <w:rsid w:val="009F7929"/>
    <w:rsid w:val="00A03800"/>
    <w:rsid w:val="00A03DDD"/>
    <w:rsid w:val="00A04DC0"/>
    <w:rsid w:val="00A05EB8"/>
    <w:rsid w:val="00A121F8"/>
    <w:rsid w:val="00A1290F"/>
    <w:rsid w:val="00A1300D"/>
    <w:rsid w:val="00A13E06"/>
    <w:rsid w:val="00A155B1"/>
    <w:rsid w:val="00A1569A"/>
    <w:rsid w:val="00A1575D"/>
    <w:rsid w:val="00A16B20"/>
    <w:rsid w:val="00A16D6C"/>
    <w:rsid w:val="00A222CE"/>
    <w:rsid w:val="00A235BC"/>
    <w:rsid w:val="00A2610D"/>
    <w:rsid w:val="00A262F7"/>
    <w:rsid w:val="00A308F5"/>
    <w:rsid w:val="00A30D58"/>
    <w:rsid w:val="00A33454"/>
    <w:rsid w:val="00A33FAE"/>
    <w:rsid w:val="00A3725C"/>
    <w:rsid w:val="00A40689"/>
    <w:rsid w:val="00A41934"/>
    <w:rsid w:val="00A439F1"/>
    <w:rsid w:val="00A4405A"/>
    <w:rsid w:val="00A44305"/>
    <w:rsid w:val="00A44977"/>
    <w:rsid w:val="00A44DCF"/>
    <w:rsid w:val="00A44DDE"/>
    <w:rsid w:val="00A47E12"/>
    <w:rsid w:val="00A47E31"/>
    <w:rsid w:val="00A51AE0"/>
    <w:rsid w:val="00A57C07"/>
    <w:rsid w:val="00A6111C"/>
    <w:rsid w:val="00A61B0D"/>
    <w:rsid w:val="00A62DFA"/>
    <w:rsid w:val="00A630C9"/>
    <w:rsid w:val="00A63F60"/>
    <w:rsid w:val="00A640EE"/>
    <w:rsid w:val="00A65AA2"/>
    <w:rsid w:val="00A66391"/>
    <w:rsid w:val="00A6796B"/>
    <w:rsid w:val="00A67DAA"/>
    <w:rsid w:val="00A71881"/>
    <w:rsid w:val="00A7374A"/>
    <w:rsid w:val="00A8217D"/>
    <w:rsid w:val="00A825B6"/>
    <w:rsid w:val="00A830D8"/>
    <w:rsid w:val="00A84368"/>
    <w:rsid w:val="00A853F9"/>
    <w:rsid w:val="00A9091F"/>
    <w:rsid w:val="00A90EE0"/>
    <w:rsid w:val="00A96DE8"/>
    <w:rsid w:val="00AA087A"/>
    <w:rsid w:val="00AA0F3B"/>
    <w:rsid w:val="00AA3BF1"/>
    <w:rsid w:val="00AB0704"/>
    <w:rsid w:val="00AB10F4"/>
    <w:rsid w:val="00AB1AFC"/>
    <w:rsid w:val="00AB1B46"/>
    <w:rsid w:val="00AB3248"/>
    <w:rsid w:val="00AB4B01"/>
    <w:rsid w:val="00AB4DB0"/>
    <w:rsid w:val="00AB5436"/>
    <w:rsid w:val="00AB632C"/>
    <w:rsid w:val="00AB70D6"/>
    <w:rsid w:val="00AB7809"/>
    <w:rsid w:val="00AC5F8A"/>
    <w:rsid w:val="00AD00C6"/>
    <w:rsid w:val="00AD066B"/>
    <w:rsid w:val="00AD5A2F"/>
    <w:rsid w:val="00AE1B51"/>
    <w:rsid w:val="00AE4B3E"/>
    <w:rsid w:val="00AF2832"/>
    <w:rsid w:val="00AF2845"/>
    <w:rsid w:val="00AF60DF"/>
    <w:rsid w:val="00AF6BA7"/>
    <w:rsid w:val="00B001F2"/>
    <w:rsid w:val="00B00494"/>
    <w:rsid w:val="00B01804"/>
    <w:rsid w:val="00B02D08"/>
    <w:rsid w:val="00B04500"/>
    <w:rsid w:val="00B055A5"/>
    <w:rsid w:val="00B1034D"/>
    <w:rsid w:val="00B10C1D"/>
    <w:rsid w:val="00B11A73"/>
    <w:rsid w:val="00B144CB"/>
    <w:rsid w:val="00B14C44"/>
    <w:rsid w:val="00B156E3"/>
    <w:rsid w:val="00B158DD"/>
    <w:rsid w:val="00B16389"/>
    <w:rsid w:val="00B16548"/>
    <w:rsid w:val="00B16667"/>
    <w:rsid w:val="00B16C19"/>
    <w:rsid w:val="00B1788E"/>
    <w:rsid w:val="00B21E26"/>
    <w:rsid w:val="00B230D1"/>
    <w:rsid w:val="00B31E4B"/>
    <w:rsid w:val="00B33241"/>
    <w:rsid w:val="00B349B5"/>
    <w:rsid w:val="00B372E7"/>
    <w:rsid w:val="00B42082"/>
    <w:rsid w:val="00B447EE"/>
    <w:rsid w:val="00B4739A"/>
    <w:rsid w:val="00B52270"/>
    <w:rsid w:val="00B52985"/>
    <w:rsid w:val="00B52AE8"/>
    <w:rsid w:val="00B561E7"/>
    <w:rsid w:val="00B56BB6"/>
    <w:rsid w:val="00B6037A"/>
    <w:rsid w:val="00B6049D"/>
    <w:rsid w:val="00B60962"/>
    <w:rsid w:val="00B676F8"/>
    <w:rsid w:val="00B70F9D"/>
    <w:rsid w:val="00B70FD5"/>
    <w:rsid w:val="00B712BD"/>
    <w:rsid w:val="00B71BC2"/>
    <w:rsid w:val="00B7414D"/>
    <w:rsid w:val="00B75429"/>
    <w:rsid w:val="00B75DFC"/>
    <w:rsid w:val="00B76BFA"/>
    <w:rsid w:val="00B81E52"/>
    <w:rsid w:val="00B8227D"/>
    <w:rsid w:val="00B830B9"/>
    <w:rsid w:val="00B8405B"/>
    <w:rsid w:val="00B85E75"/>
    <w:rsid w:val="00B86139"/>
    <w:rsid w:val="00B86475"/>
    <w:rsid w:val="00B920AA"/>
    <w:rsid w:val="00B924BA"/>
    <w:rsid w:val="00B9278A"/>
    <w:rsid w:val="00B9695C"/>
    <w:rsid w:val="00BA28A9"/>
    <w:rsid w:val="00BA2E2E"/>
    <w:rsid w:val="00BA382D"/>
    <w:rsid w:val="00BA439D"/>
    <w:rsid w:val="00BA45DD"/>
    <w:rsid w:val="00BA4955"/>
    <w:rsid w:val="00BA757F"/>
    <w:rsid w:val="00BB1C0B"/>
    <w:rsid w:val="00BB4747"/>
    <w:rsid w:val="00BB7A60"/>
    <w:rsid w:val="00BC3AF6"/>
    <w:rsid w:val="00BC5DA3"/>
    <w:rsid w:val="00BC66D6"/>
    <w:rsid w:val="00BC6C1E"/>
    <w:rsid w:val="00BC7E32"/>
    <w:rsid w:val="00BD0659"/>
    <w:rsid w:val="00BD1768"/>
    <w:rsid w:val="00BD1B0D"/>
    <w:rsid w:val="00BD2C71"/>
    <w:rsid w:val="00BD2C83"/>
    <w:rsid w:val="00BD65B5"/>
    <w:rsid w:val="00BD7A93"/>
    <w:rsid w:val="00BD7EDF"/>
    <w:rsid w:val="00BE356E"/>
    <w:rsid w:val="00BE4341"/>
    <w:rsid w:val="00BE4B1B"/>
    <w:rsid w:val="00BE4BCD"/>
    <w:rsid w:val="00BE5B70"/>
    <w:rsid w:val="00BF0953"/>
    <w:rsid w:val="00BF1126"/>
    <w:rsid w:val="00BF5186"/>
    <w:rsid w:val="00BF5198"/>
    <w:rsid w:val="00BF64DD"/>
    <w:rsid w:val="00BF75DD"/>
    <w:rsid w:val="00BF7D75"/>
    <w:rsid w:val="00C02660"/>
    <w:rsid w:val="00C03829"/>
    <w:rsid w:val="00C03E20"/>
    <w:rsid w:val="00C045A7"/>
    <w:rsid w:val="00C04634"/>
    <w:rsid w:val="00C0530D"/>
    <w:rsid w:val="00C0653B"/>
    <w:rsid w:val="00C11061"/>
    <w:rsid w:val="00C129EB"/>
    <w:rsid w:val="00C12A08"/>
    <w:rsid w:val="00C12A26"/>
    <w:rsid w:val="00C14619"/>
    <w:rsid w:val="00C228F1"/>
    <w:rsid w:val="00C229F8"/>
    <w:rsid w:val="00C24C1D"/>
    <w:rsid w:val="00C25778"/>
    <w:rsid w:val="00C32C97"/>
    <w:rsid w:val="00C36913"/>
    <w:rsid w:val="00C37478"/>
    <w:rsid w:val="00C415FD"/>
    <w:rsid w:val="00C432E4"/>
    <w:rsid w:val="00C45887"/>
    <w:rsid w:val="00C46822"/>
    <w:rsid w:val="00C50286"/>
    <w:rsid w:val="00C518E9"/>
    <w:rsid w:val="00C55AF2"/>
    <w:rsid w:val="00C564AF"/>
    <w:rsid w:val="00C56E51"/>
    <w:rsid w:val="00C57BAB"/>
    <w:rsid w:val="00C60021"/>
    <w:rsid w:val="00C60EBD"/>
    <w:rsid w:val="00C6163A"/>
    <w:rsid w:val="00C6564A"/>
    <w:rsid w:val="00C679C7"/>
    <w:rsid w:val="00C72939"/>
    <w:rsid w:val="00C72B70"/>
    <w:rsid w:val="00C82588"/>
    <w:rsid w:val="00C827A9"/>
    <w:rsid w:val="00C82C4E"/>
    <w:rsid w:val="00C84374"/>
    <w:rsid w:val="00C84934"/>
    <w:rsid w:val="00C84CCE"/>
    <w:rsid w:val="00C85020"/>
    <w:rsid w:val="00C8527A"/>
    <w:rsid w:val="00C852F8"/>
    <w:rsid w:val="00C92741"/>
    <w:rsid w:val="00CA0283"/>
    <w:rsid w:val="00CA18A4"/>
    <w:rsid w:val="00CA2718"/>
    <w:rsid w:val="00CA2CD9"/>
    <w:rsid w:val="00CA3DAA"/>
    <w:rsid w:val="00CA6098"/>
    <w:rsid w:val="00CA7B47"/>
    <w:rsid w:val="00CB3A97"/>
    <w:rsid w:val="00CB4989"/>
    <w:rsid w:val="00CB65BA"/>
    <w:rsid w:val="00CB67D5"/>
    <w:rsid w:val="00CC2427"/>
    <w:rsid w:val="00CC71CB"/>
    <w:rsid w:val="00CD354B"/>
    <w:rsid w:val="00CD46C0"/>
    <w:rsid w:val="00CD5DE8"/>
    <w:rsid w:val="00CD6BE9"/>
    <w:rsid w:val="00CD77CC"/>
    <w:rsid w:val="00CE359A"/>
    <w:rsid w:val="00CE4D6F"/>
    <w:rsid w:val="00CE6D61"/>
    <w:rsid w:val="00CE6FF5"/>
    <w:rsid w:val="00CE77E9"/>
    <w:rsid w:val="00CF3A23"/>
    <w:rsid w:val="00CF55C4"/>
    <w:rsid w:val="00CF6D40"/>
    <w:rsid w:val="00CF7DF8"/>
    <w:rsid w:val="00D00B6A"/>
    <w:rsid w:val="00D01727"/>
    <w:rsid w:val="00D073F2"/>
    <w:rsid w:val="00D13B69"/>
    <w:rsid w:val="00D1727C"/>
    <w:rsid w:val="00D17688"/>
    <w:rsid w:val="00D20BCC"/>
    <w:rsid w:val="00D21DC2"/>
    <w:rsid w:val="00D22FD4"/>
    <w:rsid w:val="00D23C52"/>
    <w:rsid w:val="00D24DC8"/>
    <w:rsid w:val="00D271CD"/>
    <w:rsid w:val="00D27746"/>
    <w:rsid w:val="00D309BD"/>
    <w:rsid w:val="00D30CC4"/>
    <w:rsid w:val="00D34A9B"/>
    <w:rsid w:val="00D3618C"/>
    <w:rsid w:val="00D36544"/>
    <w:rsid w:val="00D3694C"/>
    <w:rsid w:val="00D406C7"/>
    <w:rsid w:val="00D44CAD"/>
    <w:rsid w:val="00D4561C"/>
    <w:rsid w:val="00D46559"/>
    <w:rsid w:val="00D50FA9"/>
    <w:rsid w:val="00D56FCA"/>
    <w:rsid w:val="00D6021A"/>
    <w:rsid w:val="00D60B2C"/>
    <w:rsid w:val="00D60B52"/>
    <w:rsid w:val="00D61BD6"/>
    <w:rsid w:val="00D63E6E"/>
    <w:rsid w:val="00D67024"/>
    <w:rsid w:val="00D67E68"/>
    <w:rsid w:val="00D72179"/>
    <w:rsid w:val="00D745A3"/>
    <w:rsid w:val="00D753F9"/>
    <w:rsid w:val="00D76F23"/>
    <w:rsid w:val="00D8054D"/>
    <w:rsid w:val="00D80704"/>
    <w:rsid w:val="00D80BC0"/>
    <w:rsid w:val="00D80F9D"/>
    <w:rsid w:val="00D81F20"/>
    <w:rsid w:val="00D85FB9"/>
    <w:rsid w:val="00D879C8"/>
    <w:rsid w:val="00D87FED"/>
    <w:rsid w:val="00D9031F"/>
    <w:rsid w:val="00D90BC0"/>
    <w:rsid w:val="00D939AD"/>
    <w:rsid w:val="00D942D3"/>
    <w:rsid w:val="00D977F2"/>
    <w:rsid w:val="00DA0395"/>
    <w:rsid w:val="00DA04AA"/>
    <w:rsid w:val="00DA0EAA"/>
    <w:rsid w:val="00DA7433"/>
    <w:rsid w:val="00DB2266"/>
    <w:rsid w:val="00DC0E94"/>
    <w:rsid w:val="00DC2CC8"/>
    <w:rsid w:val="00DC59E1"/>
    <w:rsid w:val="00DD037C"/>
    <w:rsid w:val="00DD11D9"/>
    <w:rsid w:val="00DD308C"/>
    <w:rsid w:val="00DD50C9"/>
    <w:rsid w:val="00DD5606"/>
    <w:rsid w:val="00DD6BA7"/>
    <w:rsid w:val="00DE2479"/>
    <w:rsid w:val="00DE52FA"/>
    <w:rsid w:val="00DE5BB2"/>
    <w:rsid w:val="00DE6776"/>
    <w:rsid w:val="00DE6C04"/>
    <w:rsid w:val="00DE7264"/>
    <w:rsid w:val="00DE7645"/>
    <w:rsid w:val="00DE7DF8"/>
    <w:rsid w:val="00DF265B"/>
    <w:rsid w:val="00DF3078"/>
    <w:rsid w:val="00DF6E26"/>
    <w:rsid w:val="00DF706E"/>
    <w:rsid w:val="00DF7160"/>
    <w:rsid w:val="00E00EBC"/>
    <w:rsid w:val="00E03195"/>
    <w:rsid w:val="00E04206"/>
    <w:rsid w:val="00E067D1"/>
    <w:rsid w:val="00E14BDE"/>
    <w:rsid w:val="00E15015"/>
    <w:rsid w:val="00E2097B"/>
    <w:rsid w:val="00E21009"/>
    <w:rsid w:val="00E222C3"/>
    <w:rsid w:val="00E24344"/>
    <w:rsid w:val="00E25E24"/>
    <w:rsid w:val="00E2645B"/>
    <w:rsid w:val="00E26FB3"/>
    <w:rsid w:val="00E3243F"/>
    <w:rsid w:val="00E34D05"/>
    <w:rsid w:val="00E3539E"/>
    <w:rsid w:val="00E35459"/>
    <w:rsid w:val="00E414FB"/>
    <w:rsid w:val="00E4587A"/>
    <w:rsid w:val="00E53B7D"/>
    <w:rsid w:val="00E54A7E"/>
    <w:rsid w:val="00E54EC3"/>
    <w:rsid w:val="00E55590"/>
    <w:rsid w:val="00E5765F"/>
    <w:rsid w:val="00E65644"/>
    <w:rsid w:val="00E666A0"/>
    <w:rsid w:val="00E70922"/>
    <w:rsid w:val="00E70A81"/>
    <w:rsid w:val="00E72741"/>
    <w:rsid w:val="00E74092"/>
    <w:rsid w:val="00E74143"/>
    <w:rsid w:val="00E742CF"/>
    <w:rsid w:val="00E77034"/>
    <w:rsid w:val="00E803C8"/>
    <w:rsid w:val="00E8063B"/>
    <w:rsid w:val="00E86329"/>
    <w:rsid w:val="00E86D83"/>
    <w:rsid w:val="00E90373"/>
    <w:rsid w:val="00E91DF2"/>
    <w:rsid w:val="00E92FE8"/>
    <w:rsid w:val="00E95679"/>
    <w:rsid w:val="00E95CE6"/>
    <w:rsid w:val="00E97DE4"/>
    <w:rsid w:val="00EA01A7"/>
    <w:rsid w:val="00EA0893"/>
    <w:rsid w:val="00EA0AE0"/>
    <w:rsid w:val="00EA1890"/>
    <w:rsid w:val="00EA298F"/>
    <w:rsid w:val="00EA3CD5"/>
    <w:rsid w:val="00EA4E81"/>
    <w:rsid w:val="00EA549C"/>
    <w:rsid w:val="00EA64C3"/>
    <w:rsid w:val="00EB0C2B"/>
    <w:rsid w:val="00EB13CE"/>
    <w:rsid w:val="00EB35D0"/>
    <w:rsid w:val="00EB4FD8"/>
    <w:rsid w:val="00EB65B2"/>
    <w:rsid w:val="00EB74EA"/>
    <w:rsid w:val="00EB7976"/>
    <w:rsid w:val="00EB7FA1"/>
    <w:rsid w:val="00EC2C89"/>
    <w:rsid w:val="00ED3385"/>
    <w:rsid w:val="00ED33A6"/>
    <w:rsid w:val="00ED6575"/>
    <w:rsid w:val="00ED7665"/>
    <w:rsid w:val="00EE0A77"/>
    <w:rsid w:val="00EE10C9"/>
    <w:rsid w:val="00EE1600"/>
    <w:rsid w:val="00EE1E72"/>
    <w:rsid w:val="00EE23CF"/>
    <w:rsid w:val="00EE2562"/>
    <w:rsid w:val="00EF508A"/>
    <w:rsid w:val="00EF64DE"/>
    <w:rsid w:val="00F0070F"/>
    <w:rsid w:val="00F00AB3"/>
    <w:rsid w:val="00F00D5E"/>
    <w:rsid w:val="00F017C4"/>
    <w:rsid w:val="00F051B3"/>
    <w:rsid w:val="00F05D88"/>
    <w:rsid w:val="00F077FD"/>
    <w:rsid w:val="00F07AFC"/>
    <w:rsid w:val="00F147DD"/>
    <w:rsid w:val="00F16FEB"/>
    <w:rsid w:val="00F1703C"/>
    <w:rsid w:val="00F2086B"/>
    <w:rsid w:val="00F223C7"/>
    <w:rsid w:val="00F25ED5"/>
    <w:rsid w:val="00F27AB3"/>
    <w:rsid w:val="00F30F51"/>
    <w:rsid w:val="00F32814"/>
    <w:rsid w:val="00F3378D"/>
    <w:rsid w:val="00F3530B"/>
    <w:rsid w:val="00F43F0E"/>
    <w:rsid w:val="00F46097"/>
    <w:rsid w:val="00F501CB"/>
    <w:rsid w:val="00F516F0"/>
    <w:rsid w:val="00F525CC"/>
    <w:rsid w:val="00F5376D"/>
    <w:rsid w:val="00F54579"/>
    <w:rsid w:val="00F558A2"/>
    <w:rsid w:val="00F57267"/>
    <w:rsid w:val="00F5756B"/>
    <w:rsid w:val="00F60D35"/>
    <w:rsid w:val="00F61F94"/>
    <w:rsid w:val="00F649AF"/>
    <w:rsid w:val="00F64E39"/>
    <w:rsid w:val="00F656B0"/>
    <w:rsid w:val="00F663E6"/>
    <w:rsid w:val="00F67861"/>
    <w:rsid w:val="00F70104"/>
    <w:rsid w:val="00F705B4"/>
    <w:rsid w:val="00F727E7"/>
    <w:rsid w:val="00F73C28"/>
    <w:rsid w:val="00F74DE0"/>
    <w:rsid w:val="00F8011F"/>
    <w:rsid w:val="00F82422"/>
    <w:rsid w:val="00F82659"/>
    <w:rsid w:val="00F82691"/>
    <w:rsid w:val="00F8386D"/>
    <w:rsid w:val="00F8407B"/>
    <w:rsid w:val="00F84892"/>
    <w:rsid w:val="00F84CA6"/>
    <w:rsid w:val="00F87F52"/>
    <w:rsid w:val="00F900D6"/>
    <w:rsid w:val="00F94A0F"/>
    <w:rsid w:val="00F95484"/>
    <w:rsid w:val="00F96262"/>
    <w:rsid w:val="00FA0D61"/>
    <w:rsid w:val="00FA223A"/>
    <w:rsid w:val="00FA70E2"/>
    <w:rsid w:val="00FA7B7D"/>
    <w:rsid w:val="00FB1ACF"/>
    <w:rsid w:val="00FB57FE"/>
    <w:rsid w:val="00FB61D7"/>
    <w:rsid w:val="00FB7BA4"/>
    <w:rsid w:val="00FB7EB1"/>
    <w:rsid w:val="00FC01EE"/>
    <w:rsid w:val="00FC0A9A"/>
    <w:rsid w:val="00FC15A2"/>
    <w:rsid w:val="00FC1EE5"/>
    <w:rsid w:val="00FC25DC"/>
    <w:rsid w:val="00FC3D81"/>
    <w:rsid w:val="00FC57E4"/>
    <w:rsid w:val="00FD2A61"/>
    <w:rsid w:val="00FD4D45"/>
    <w:rsid w:val="00FD4FBE"/>
    <w:rsid w:val="00FD665C"/>
    <w:rsid w:val="00FD7A5F"/>
    <w:rsid w:val="00FE3336"/>
    <w:rsid w:val="00FE3721"/>
    <w:rsid w:val="00FE4FF3"/>
    <w:rsid w:val="00FE6113"/>
    <w:rsid w:val="00FE6911"/>
    <w:rsid w:val="00FE7504"/>
    <w:rsid w:val="00FE77EB"/>
    <w:rsid w:val="00FF029F"/>
    <w:rsid w:val="00FF09A2"/>
    <w:rsid w:val="00FF0EAE"/>
    <w:rsid w:val="00FF41D2"/>
    <w:rsid w:val="00FF4936"/>
    <w:rsid w:val="00FF6A4E"/>
    <w:rsid w:val="00FF7D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51"/>
    <w:pPr>
      <w:spacing w:after="160" w:line="259" w:lineRule="auto"/>
      <w:ind w:left="720"/>
    </w:pPr>
    <w:rPr>
      <w:rFonts w:ascii="Arial" w:hAnsi="Arial" w:cs="Arial"/>
      <w:sz w:val="22"/>
      <w:szCs w:val="22"/>
      <w:lang w:eastAsia="en-US"/>
    </w:rPr>
  </w:style>
  <w:style w:type="paragraph" w:styleId="Heading1">
    <w:name w:val="heading 1"/>
    <w:basedOn w:val="Normal"/>
    <w:next w:val="Normal"/>
    <w:link w:val="Heading1Char"/>
    <w:qFormat/>
    <w:rsid w:val="006C605D"/>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EBD"/>
    <w:pPr>
      <w:contextualSpacing/>
    </w:pPr>
  </w:style>
  <w:style w:type="paragraph" w:styleId="Title">
    <w:name w:val="Title"/>
    <w:basedOn w:val="Normal"/>
    <w:next w:val="Subtitle"/>
    <w:link w:val="TitleChar"/>
    <w:qFormat/>
    <w:rsid w:val="006C605D"/>
    <w:pPr>
      <w:suppressAutoHyphens/>
      <w:spacing w:after="0" w:line="240" w:lineRule="auto"/>
      <w:jc w:val="center"/>
    </w:pPr>
    <w:rPr>
      <w:rFonts w:ascii="Comic Sans MS" w:eastAsia="Times New Roman" w:hAnsi="Comic Sans MS" w:cs="Comic Sans MS"/>
      <w:b/>
      <w:sz w:val="28"/>
      <w:szCs w:val="20"/>
      <w:lang w:eastAsia="ar-SA"/>
    </w:rPr>
  </w:style>
  <w:style w:type="character" w:customStyle="1" w:styleId="TitleChar">
    <w:name w:val="Title Char"/>
    <w:link w:val="Title"/>
    <w:rsid w:val="006C605D"/>
    <w:rPr>
      <w:rFonts w:ascii="Comic Sans MS" w:eastAsia="Times New Roman" w:hAnsi="Comic Sans MS" w:cs="Comic Sans MS"/>
      <w:b/>
      <w:sz w:val="28"/>
      <w:szCs w:val="20"/>
      <w:lang w:eastAsia="ar-SA"/>
    </w:rPr>
  </w:style>
  <w:style w:type="paragraph" w:styleId="Subtitle">
    <w:name w:val="Subtitle"/>
    <w:basedOn w:val="Normal"/>
    <w:next w:val="BodyText"/>
    <w:link w:val="SubtitleChar"/>
    <w:qFormat/>
    <w:rsid w:val="006C605D"/>
    <w:pPr>
      <w:suppressAutoHyphens/>
      <w:spacing w:after="0" w:line="240" w:lineRule="auto"/>
      <w:jc w:val="center"/>
    </w:pPr>
    <w:rPr>
      <w:rFonts w:eastAsia="Times New Roman"/>
      <w:b/>
      <w:szCs w:val="20"/>
      <w:lang w:eastAsia="ar-SA"/>
    </w:rPr>
  </w:style>
  <w:style w:type="character" w:customStyle="1" w:styleId="SubtitleChar">
    <w:name w:val="Subtitle Char"/>
    <w:link w:val="Subtitle"/>
    <w:rsid w:val="006C605D"/>
    <w:rPr>
      <w:rFonts w:ascii="Arial" w:eastAsia="Times New Roman" w:hAnsi="Arial" w:cs="Arial"/>
      <w:b/>
      <w:szCs w:val="20"/>
      <w:lang w:eastAsia="ar-SA"/>
    </w:rPr>
  </w:style>
  <w:style w:type="paragraph" w:styleId="BodyText">
    <w:name w:val="Body Text"/>
    <w:basedOn w:val="Normal"/>
    <w:link w:val="BodyTextChar"/>
    <w:uiPriority w:val="99"/>
    <w:unhideWhenUsed/>
    <w:rsid w:val="006C605D"/>
    <w:pPr>
      <w:spacing w:after="120"/>
    </w:pPr>
  </w:style>
  <w:style w:type="character" w:customStyle="1" w:styleId="BodyTextChar">
    <w:name w:val="Body Text Char"/>
    <w:basedOn w:val="DefaultParagraphFont"/>
    <w:link w:val="BodyText"/>
    <w:uiPriority w:val="99"/>
    <w:rsid w:val="006C605D"/>
  </w:style>
  <w:style w:type="character" w:customStyle="1" w:styleId="Heading1Char">
    <w:name w:val="Heading 1 Char"/>
    <w:link w:val="Heading1"/>
    <w:rsid w:val="006C605D"/>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D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5D"/>
  </w:style>
  <w:style w:type="paragraph" w:styleId="Footer">
    <w:name w:val="footer"/>
    <w:basedOn w:val="Normal"/>
    <w:link w:val="FooterChar"/>
    <w:uiPriority w:val="99"/>
    <w:unhideWhenUsed/>
    <w:rsid w:val="004D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5D"/>
  </w:style>
  <w:style w:type="paragraph" w:styleId="BalloonText">
    <w:name w:val="Balloon Text"/>
    <w:basedOn w:val="Normal"/>
    <w:link w:val="BalloonTextChar"/>
    <w:uiPriority w:val="99"/>
    <w:semiHidden/>
    <w:unhideWhenUsed/>
    <w:rsid w:val="004D22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225D"/>
    <w:rPr>
      <w:rFonts w:ascii="Tahoma" w:hAnsi="Tahoma" w:cs="Tahoma"/>
      <w:sz w:val="16"/>
      <w:szCs w:val="16"/>
    </w:rPr>
  </w:style>
  <w:style w:type="character" w:styleId="Hyperlink">
    <w:name w:val="Hyperlink"/>
    <w:basedOn w:val="DefaultParagraphFont"/>
    <w:uiPriority w:val="99"/>
    <w:unhideWhenUsed/>
    <w:rsid w:val="004C79AD"/>
    <w:rPr>
      <w:color w:val="0000FF" w:themeColor="hyperlink"/>
      <w:u w:val="single"/>
    </w:rPr>
  </w:style>
  <w:style w:type="paragraph" w:styleId="NoSpacing">
    <w:name w:val="No Spacing"/>
    <w:uiPriority w:val="1"/>
    <w:qFormat/>
    <w:rsid w:val="00891B14"/>
    <w:rPr>
      <w:rFonts w:asciiTheme="minorHAnsi" w:eastAsiaTheme="minorHAnsi" w:hAnsiTheme="minorHAnsi" w:cstheme="minorBidi"/>
      <w:sz w:val="24"/>
      <w:szCs w:val="24"/>
      <w:lang w:val="en-US" w:eastAsia="en-US"/>
    </w:rPr>
  </w:style>
  <w:style w:type="paragraph" w:styleId="NormalWeb">
    <w:name w:val="Normal (Web)"/>
    <w:basedOn w:val="Normal"/>
    <w:uiPriority w:val="99"/>
    <w:unhideWhenUsed/>
    <w:rsid w:val="007A71DF"/>
    <w:pPr>
      <w:spacing w:before="100" w:beforeAutospacing="1" w:after="100" w:afterAutospacing="1" w:line="240" w:lineRule="auto"/>
    </w:pPr>
    <w:rPr>
      <w:rFonts w:eastAsiaTheme="minorHAnsi" w:cs="Calibri"/>
      <w:color w:val="000000"/>
      <w:lang w:eastAsia="en-GB"/>
    </w:rPr>
  </w:style>
  <w:style w:type="paragraph" w:customStyle="1" w:styleId="headings">
    <w:name w:val="headings"/>
    <w:basedOn w:val="ListParagraph"/>
    <w:link w:val="headingsChar1"/>
    <w:rsid w:val="001B5E7B"/>
    <w:pPr>
      <w:numPr>
        <w:numId w:val="1"/>
      </w:numPr>
      <w:spacing w:after="0"/>
    </w:pPr>
    <w:rPr>
      <w:b/>
      <w:caps/>
    </w:rPr>
  </w:style>
  <w:style w:type="paragraph" w:customStyle="1" w:styleId="headingsmin">
    <w:name w:val="headings min."/>
    <w:basedOn w:val="headings"/>
    <w:link w:val="headingsminChar"/>
    <w:qFormat/>
    <w:rsid w:val="00D80704"/>
  </w:style>
  <w:style w:type="character" w:customStyle="1" w:styleId="ListParagraphChar">
    <w:name w:val="List Paragraph Char"/>
    <w:basedOn w:val="DefaultParagraphFont"/>
    <w:link w:val="ListParagraph"/>
    <w:uiPriority w:val="34"/>
    <w:rsid w:val="00F051B3"/>
    <w:rPr>
      <w:rFonts w:ascii="Arial" w:hAnsi="Arial" w:cs="Arial"/>
      <w:sz w:val="22"/>
      <w:szCs w:val="22"/>
      <w:lang w:eastAsia="en-US"/>
    </w:rPr>
  </w:style>
  <w:style w:type="character" w:customStyle="1" w:styleId="headingsChar">
    <w:name w:val="headings Char"/>
    <w:basedOn w:val="ListParagraphChar"/>
    <w:rsid w:val="00F051B3"/>
    <w:rPr>
      <w:rFonts w:ascii="Arial" w:hAnsi="Arial" w:cs="Arial"/>
      <w:sz w:val="22"/>
      <w:szCs w:val="22"/>
      <w:lang w:eastAsia="en-US"/>
    </w:rPr>
  </w:style>
  <w:style w:type="paragraph" w:customStyle="1" w:styleId="Default">
    <w:name w:val="Default"/>
    <w:rsid w:val="00504CDF"/>
    <w:pPr>
      <w:autoSpaceDE w:val="0"/>
      <w:autoSpaceDN w:val="0"/>
      <w:adjustRightInd w:val="0"/>
    </w:pPr>
    <w:rPr>
      <w:rFonts w:cs="Calibri"/>
      <w:color w:val="000000"/>
      <w:sz w:val="24"/>
      <w:szCs w:val="24"/>
    </w:rPr>
  </w:style>
  <w:style w:type="character" w:customStyle="1" w:styleId="headingsChar1">
    <w:name w:val="headings Char1"/>
    <w:basedOn w:val="ListParagraphChar"/>
    <w:link w:val="headings"/>
    <w:rsid w:val="001B5E7B"/>
    <w:rPr>
      <w:rFonts w:ascii="Arial" w:hAnsi="Arial" w:cs="Arial"/>
      <w:b/>
      <w:caps/>
      <w:sz w:val="22"/>
      <w:szCs w:val="22"/>
      <w:lang w:eastAsia="en-US"/>
    </w:rPr>
  </w:style>
  <w:style w:type="character" w:customStyle="1" w:styleId="headingsminChar">
    <w:name w:val="headings min. Char"/>
    <w:basedOn w:val="headingsChar1"/>
    <w:link w:val="headingsmin"/>
    <w:rsid w:val="00D80704"/>
    <w:rPr>
      <w:rFonts w:ascii="Arial" w:hAnsi="Arial" w:cs="Arial"/>
      <w:b/>
      <w:caps/>
      <w:sz w:val="22"/>
      <w:szCs w:val="22"/>
      <w:lang w:eastAsia="en-US"/>
    </w:rPr>
  </w:style>
  <w:style w:type="character" w:styleId="Strong">
    <w:name w:val="Strong"/>
    <w:basedOn w:val="DefaultParagraphFont"/>
    <w:uiPriority w:val="22"/>
    <w:qFormat/>
    <w:rsid w:val="006F7E3D"/>
    <w:rPr>
      <w:b/>
      <w:bCs/>
    </w:rPr>
  </w:style>
  <w:style w:type="paragraph" w:customStyle="1" w:styleId="western">
    <w:name w:val="western"/>
    <w:basedOn w:val="Normal"/>
    <w:rsid w:val="00E35459"/>
    <w:pPr>
      <w:spacing w:after="0" w:line="240" w:lineRule="auto"/>
      <w:ind w:left="0"/>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semiHidden/>
    <w:unhideWhenUsed/>
    <w:rsid w:val="00460452"/>
    <w:pPr>
      <w:spacing w:after="0" w:line="240" w:lineRule="auto"/>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60452"/>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0834E5"/>
    <w:rPr>
      <w:sz w:val="16"/>
      <w:szCs w:val="16"/>
    </w:rPr>
  </w:style>
  <w:style w:type="paragraph" w:styleId="CommentText">
    <w:name w:val="annotation text"/>
    <w:basedOn w:val="Normal"/>
    <w:link w:val="CommentTextChar"/>
    <w:uiPriority w:val="99"/>
    <w:semiHidden/>
    <w:unhideWhenUsed/>
    <w:rsid w:val="000834E5"/>
    <w:pPr>
      <w:spacing w:line="240" w:lineRule="auto"/>
    </w:pPr>
    <w:rPr>
      <w:sz w:val="20"/>
      <w:szCs w:val="20"/>
    </w:rPr>
  </w:style>
  <w:style w:type="character" w:customStyle="1" w:styleId="CommentTextChar">
    <w:name w:val="Comment Text Char"/>
    <w:basedOn w:val="DefaultParagraphFont"/>
    <w:link w:val="CommentText"/>
    <w:uiPriority w:val="99"/>
    <w:semiHidden/>
    <w:rsid w:val="000834E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834E5"/>
    <w:rPr>
      <w:b/>
      <w:bCs/>
    </w:rPr>
  </w:style>
  <w:style w:type="character" w:customStyle="1" w:styleId="CommentSubjectChar">
    <w:name w:val="Comment Subject Char"/>
    <w:basedOn w:val="CommentTextChar"/>
    <w:link w:val="CommentSubject"/>
    <w:uiPriority w:val="99"/>
    <w:semiHidden/>
    <w:rsid w:val="000834E5"/>
    <w:rPr>
      <w:rFonts w:ascii="Arial" w:hAnsi="Arial" w:cs="Arial"/>
      <w:b/>
      <w:bCs/>
      <w:lang w:eastAsia="en-US"/>
    </w:rPr>
  </w:style>
  <w:style w:type="paragraph" w:styleId="Revision">
    <w:name w:val="Revision"/>
    <w:hidden/>
    <w:uiPriority w:val="99"/>
    <w:semiHidden/>
    <w:rsid w:val="005D7E00"/>
    <w:rPr>
      <w:rFonts w:ascii="Arial" w:hAnsi="Arial" w:cs="Arial"/>
      <w:sz w:val="22"/>
      <w:szCs w:val="22"/>
      <w:lang w:eastAsia="en-US"/>
    </w:rPr>
  </w:style>
  <w:style w:type="table" w:styleId="TableGrid">
    <w:name w:val="Table Grid"/>
    <w:basedOn w:val="TableNormal"/>
    <w:uiPriority w:val="59"/>
    <w:rsid w:val="009C6D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9540">
      <w:bodyDiv w:val="1"/>
      <w:marLeft w:val="0"/>
      <w:marRight w:val="0"/>
      <w:marTop w:val="0"/>
      <w:marBottom w:val="0"/>
      <w:divBdr>
        <w:top w:val="none" w:sz="0" w:space="0" w:color="auto"/>
        <w:left w:val="none" w:sz="0" w:space="0" w:color="auto"/>
        <w:bottom w:val="none" w:sz="0" w:space="0" w:color="auto"/>
        <w:right w:val="none" w:sz="0" w:space="0" w:color="auto"/>
      </w:divBdr>
    </w:div>
    <w:div w:id="12995220">
      <w:bodyDiv w:val="1"/>
      <w:marLeft w:val="0"/>
      <w:marRight w:val="0"/>
      <w:marTop w:val="0"/>
      <w:marBottom w:val="0"/>
      <w:divBdr>
        <w:top w:val="none" w:sz="0" w:space="0" w:color="auto"/>
        <w:left w:val="none" w:sz="0" w:space="0" w:color="auto"/>
        <w:bottom w:val="none" w:sz="0" w:space="0" w:color="auto"/>
        <w:right w:val="none" w:sz="0" w:space="0" w:color="auto"/>
      </w:divBdr>
    </w:div>
    <w:div w:id="50613692">
      <w:bodyDiv w:val="1"/>
      <w:marLeft w:val="0"/>
      <w:marRight w:val="0"/>
      <w:marTop w:val="0"/>
      <w:marBottom w:val="0"/>
      <w:divBdr>
        <w:top w:val="none" w:sz="0" w:space="0" w:color="auto"/>
        <w:left w:val="none" w:sz="0" w:space="0" w:color="auto"/>
        <w:bottom w:val="none" w:sz="0" w:space="0" w:color="auto"/>
        <w:right w:val="none" w:sz="0" w:space="0" w:color="auto"/>
      </w:divBdr>
    </w:div>
    <w:div w:id="56168688">
      <w:bodyDiv w:val="1"/>
      <w:marLeft w:val="0"/>
      <w:marRight w:val="0"/>
      <w:marTop w:val="0"/>
      <w:marBottom w:val="0"/>
      <w:divBdr>
        <w:top w:val="none" w:sz="0" w:space="0" w:color="auto"/>
        <w:left w:val="none" w:sz="0" w:space="0" w:color="auto"/>
        <w:bottom w:val="none" w:sz="0" w:space="0" w:color="auto"/>
        <w:right w:val="none" w:sz="0" w:space="0" w:color="auto"/>
      </w:divBdr>
    </w:div>
    <w:div w:id="129980562">
      <w:bodyDiv w:val="1"/>
      <w:marLeft w:val="0"/>
      <w:marRight w:val="0"/>
      <w:marTop w:val="0"/>
      <w:marBottom w:val="0"/>
      <w:divBdr>
        <w:top w:val="none" w:sz="0" w:space="0" w:color="auto"/>
        <w:left w:val="none" w:sz="0" w:space="0" w:color="auto"/>
        <w:bottom w:val="none" w:sz="0" w:space="0" w:color="auto"/>
        <w:right w:val="none" w:sz="0" w:space="0" w:color="auto"/>
      </w:divBdr>
    </w:div>
    <w:div w:id="138888896">
      <w:bodyDiv w:val="1"/>
      <w:marLeft w:val="0"/>
      <w:marRight w:val="0"/>
      <w:marTop w:val="0"/>
      <w:marBottom w:val="0"/>
      <w:divBdr>
        <w:top w:val="none" w:sz="0" w:space="0" w:color="auto"/>
        <w:left w:val="none" w:sz="0" w:space="0" w:color="auto"/>
        <w:bottom w:val="none" w:sz="0" w:space="0" w:color="auto"/>
        <w:right w:val="none" w:sz="0" w:space="0" w:color="auto"/>
      </w:divBdr>
    </w:div>
    <w:div w:id="144394912">
      <w:bodyDiv w:val="1"/>
      <w:marLeft w:val="0"/>
      <w:marRight w:val="0"/>
      <w:marTop w:val="0"/>
      <w:marBottom w:val="0"/>
      <w:divBdr>
        <w:top w:val="none" w:sz="0" w:space="0" w:color="auto"/>
        <w:left w:val="none" w:sz="0" w:space="0" w:color="auto"/>
        <w:bottom w:val="none" w:sz="0" w:space="0" w:color="auto"/>
        <w:right w:val="none" w:sz="0" w:space="0" w:color="auto"/>
      </w:divBdr>
    </w:div>
    <w:div w:id="156002064">
      <w:bodyDiv w:val="1"/>
      <w:marLeft w:val="0"/>
      <w:marRight w:val="0"/>
      <w:marTop w:val="0"/>
      <w:marBottom w:val="0"/>
      <w:divBdr>
        <w:top w:val="none" w:sz="0" w:space="0" w:color="auto"/>
        <w:left w:val="none" w:sz="0" w:space="0" w:color="auto"/>
        <w:bottom w:val="none" w:sz="0" w:space="0" w:color="auto"/>
        <w:right w:val="none" w:sz="0" w:space="0" w:color="auto"/>
      </w:divBdr>
    </w:div>
    <w:div w:id="211624461">
      <w:bodyDiv w:val="1"/>
      <w:marLeft w:val="0"/>
      <w:marRight w:val="0"/>
      <w:marTop w:val="0"/>
      <w:marBottom w:val="0"/>
      <w:divBdr>
        <w:top w:val="none" w:sz="0" w:space="0" w:color="auto"/>
        <w:left w:val="none" w:sz="0" w:space="0" w:color="auto"/>
        <w:bottom w:val="none" w:sz="0" w:space="0" w:color="auto"/>
        <w:right w:val="none" w:sz="0" w:space="0" w:color="auto"/>
      </w:divBdr>
    </w:div>
    <w:div w:id="273176040">
      <w:bodyDiv w:val="1"/>
      <w:marLeft w:val="0"/>
      <w:marRight w:val="0"/>
      <w:marTop w:val="0"/>
      <w:marBottom w:val="0"/>
      <w:divBdr>
        <w:top w:val="none" w:sz="0" w:space="0" w:color="auto"/>
        <w:left w:val="none" w:sz="0" w:space="0" w:color="auto"/>
        <w:bottom w:val="none" w:sz="0" w:space="0" w:color="auto"/>
        <w:right w:val="none" w:sz="0" w:space="0" w:color="auto"/>
      </w:divBdr>
    </w:div>
    <w:div w:id="279267133">
      <w:bodyDiv w:val="1"/>
      <w:marLeft w:val="0"/>
      <w:marRight w:val="0"/>
      <w:marTop w:val="0"/>
      <w:marBottom w:val="0"/>
      <w:divBdr>
        <w:top w:val="none" w:sz="0" w:space="0" w:color="auto"/>
        <w:left w:val="none" w:sz="0" w:space="0" w:color="auto"/>
        <w:bottom w:val="none" w:sz="0" w:space="0" w:color="auto"/>
        <w:right w:val="none" w:sz="0" w:space="0" w:color="auto"/>
      </w:divBdr>
    </w:div>
    <w:div w:id="302544337">
      <w:bodyDiv w:val="1"/>
      <w:marLeft w:val="0"/>
      <w:marRight w:val="0"/>
      <w:marTop w:val="0"/>
      <w:marBottom w:val="0"/>
      <w:divBdr>
        <w:top w:val="none" w:sz="0" w:space="0" w:color="auto"/>
        <w:left w:val="none" w:sz="0" w:space="0" w:color="auto"/>
        <w:bottom w:val="none" w:sz="0" w:space="0" w:color="auto"/>
        <w:right w:val="none" w:sz="0" w:space="0" w:color="auto"/>
      </w:divBdr>
    </w:div>
    <w:div w:id="349989457">
      <w:bodyDiv w:val="1"/>
      <w:marLeft w:val="0"/>
      <w:marRight w:val="0"/>
      <w:marTop w:val="0"/>
      <w:marBottom w:val="0"/>
      <w:divBdr>
        <w:top w:val="none" w:sz="0" w:space="0" w:color="auto"/>
        <w:left w:val="none" w:sz="0" w:space="0" w:color="auto"/>
        <w:bottom w:val="none" w:sz="0" w:space="0" w:color="auto"/>
        <w:right w:val="none" w:sz="0" w:space="0" w:color="auto"/>
      </w:divBdr>
    </w:div>
    <w:div w:id="373695862">
      <w:bodyDiv w:val="1"/>
      <w:marLeft w:val="0"/>
      <w:marRight w:val="0"/>
      <w:marTop w:val="0"/>
      <w:marBottom w:val="0"/>
      <w:divBdr>
        <w:top w:val="none" w:sz="0" w:space="0" w:color="auto"/>
        <w:left w:val="none" w:sz="0" w:space="0" w:color="auto"/>
        <w:bottom w:val="none" w:sz="0" w:space="0" w:color="auto"/>
        <w:right w:val="none" w:sz="0" w:space="0" w:color="auto"/>
      </w:divBdr>
    </w:div>
    <w:div w:id="379591391">
      <w:bodyDiv w:val="1"/>
      <w:marLeft w:val="0"/>
      <w:marRight w:val="0"/>
      <w:marTop w:val="0"/>
      <w:marBottom w:val="0"/>
      <w:divBdr>
        <w:top w:val="none" w:sz="0" w:space="0" w:color="auto"/>
        <w:left w:val="none" w:sz="0" w:space="0" w:color="auto"/>
        <w:bottom w:val="none" w:sz="0" w:space="0" w:color="auto"/>
        <w:right w:val="none" w:sz="0" w:space="0" w:color="auto"/>
      </w:divBdr>
    </w:div>
    <w:div w:id="402947194">
      <w:bodyDiv w:val="1"/>
      <w:marLeft w:val="0"/>
      <w:marRight w:val="0"/>
      <w:marTop w:val="0"/>
      <w:marBottom w:val="0"/>
      <w:divBdr>
        <w:top w:val="none" w:sz="0" w:space="0" w:color="auto"/>
        <w:left w:val="none" w:sz="0" w:space="0" w:color="auto"/>
        <w:bottom w:val="none" w:sz="0" w:space="0" w:color="auto"/>
        <w:right w:val="none" w:sz="0" w:space="0" w:color="auto"/>
      </w:divBdr>
    </w:div>
    <w:div w:id="555236309">
      <w:bodyDiv w:val="1"/>
      <w:marLeft w:val="0"/>
      <w:marRight w:val="0"/>
      <w:marTop w:val="0"/>
      <w:marBottom w:val="0"/>
      <w:divBdr>
        <w:top w:val="none" w:sz="0" w:space="0" w:color="auto"/>
        <w:left w:val="none" w:sz="0" w:space="0" w:color="auto"/>
        <w:bottom w:val="none" w:sz="0" w:space="0" w:color="auto"/>
        <w:right w:val="none" w:sz="0" w:space="0" w:color="auto"/>
      </w:divBdr>
    </w:div>
    <w:div w:id="608270759">
      <w:bodyDiv w:val="1"/>
      <w:marLeft w:val="0"/>
      <w:marRight w:val="0"/>
      <w:marTop w:val="0"/>
      <w:marBottom w:val="0"/>
      <w:divBdr>
        <w:top w:val="none" w:sz="0" w:space="0" w:color="auto"/>
        <w:left w:val="none" w:sz="0" w:space="0" w:color="auto"/>
        <w:bottom w:val="none" w:sz="0" w:space="0" w:color="auto"/>
        <w:right w:val="none" w:sz="0" w:space="0" w:color="auto"/>
      </w:divBdr>
    </w:div>
    <w:div w:id="611061620">
      <w:bodyDiv w:val="1"/>
      <w:marLeft w:val="0"/>
      <w:marRight w:val="0"/>
      <w:marTop w:val="0"/>
      <w:marBottom w:val="0"/>
      <w:divBdr>
        <w:top w:val="none" w:sz="0" w:space="0" w:color="auto"/>
        <w:left w:val="none" w:sz="0" w:space="0" w:color="auto"/>
        <w:bottom w:val="none" w:sz="0" w:space="0" w:color="auto"/>
        <w:right w:val="none" w:sz="0" w:space="0" w:color="auto"/>
      </w:divBdr>
    </w:div>
    <w:div w:id="638531637">
      <w:bodyDiv w:val="1"/>
      <w:marLeft w:val="0"/>
      <w:marRight w:val="0"/>
      <w:marTop w:val="0"/>
      <w:marBottom w:val="0"/>
      <w:divBdr>
        <w:top w:val="none" w:sz="0" w:space="0" w:color="auto"/>
        <w:left w:val="none" w:sz="0" w:space="0" w:color="auto"/>
        <w:bottom w:val="none" w:sz="0" w:space="0" w:color="auto"/>
        <w:right w:val="none" w:sz="0" w:space="0" w:color="auto"/>
      </w:divBdr>
    </w:div>
    <w:div w:id="748818629">
      <w:bodyDiv w:val="1"/>
      <w:marLeft w:val="0"/>
      <w:marRight w:val="0"/>
      <w:marTop w:val="0"/>
      <w:marBottom w:val="0"/>
      <w:divBdr>
        <w:top w:val="none" w:sz="0" w:space="0" w:color="auto"/>
        <w:left w:val="none" w:sz="0" w:space="0" w:color="auto"/>
        <w:bottom w:val="none" w:sz="0" w:space="0" w:color="auto"/>
        <w:right w:val="none" w:sz="0" w:space="0" w:color="auto"/>
      </w:divBdr>
    </w:div>
    <w:div w:id="838160242">
      <w:bodyDiv w:val="1"/>
      <w:marLeft w:val="0"/>
      <w:marRight w:val="0"/>
      <w:marTop w:val="0"/>
      <w:marBottom w:val="0"/>
      <w:divBdr>
        <w:top w:val="none" w:sz="0" w:space="0" w:color="auto"/>
        <w:left w:val="none" w:sz="0" w:space="0" w:color="auto"/>
        <w:bottom w:val="none" w:sz="0" w:space="0" w:color="auto"/>
        <w:right w:val="none" w:sz="0" w:space="0" w:color="auto"/>
      </w:divBdr>
    </w:div>
    <w:div w:id="920991154">
      <w:bodyDiv w:val="1"/>
      <w:marLeft w:val="0"/>
      <w:marRight w:val="0"/>
      <w:marTop w:val="0"/>
      <w:marBottom w:val="0"/>
      <w:divBdr>
        <w:top w:val="none" w:sz="0" w:space="0" w:color="auto"/>
        <w:left w:val="none" w:sz="0" w:space="0" w:color="auto"/>
        <w:bottom w:val="none" w:sz="0" w:space="0" w:color="auto"/>
        <w:right w:val="none" w:sz="0" w:space="0" w:color="auto"/>
      </w:divBdr>
    </w:div>
    <w:div w:id="966545937">
      <w:bodyDiv w:val="1"/>
      <w:marLeft w:val="0"/>
      <w:marRight w:val="0"/>
      <w:marTop w:val="0"/>
      <w:marBottom w:val="0"/>
      <w:divBdr>
        <w:top w:val="none" w:sz="0" w:space="0" w:color="auto"/>
        <w:left w:val="none" w:sz="0" w:space="0" w:color="auto"/>
        <w:bottom w:val="none" w:sz="0" w:space="0" w:color="auto"/>
        <w:right w:val="none" w:sz="0" w:space="0" w:color="auto"/>
      </w:divBdr>
    </w:div>
    <w:div w:id="984090238">
      <w:bodyDiv w:val="1"/>
      <w:marLeft w:val="0"/>
      <w:marRight w:val="0"/>
      <w:marTop w:val="0"/>
      <w:marBottom w:val="0"/>
      <w:divBdr>
        <w:top w:val="none" w:sz="0" w:space="0" w:color="auto"/>
        <w:left w:val="none" w:sz="0" w:space="0" w:color="auto"/>
        <w:bottom w:val="none" w:sz="0" w:space="0" w:color="auto"/>
        <w:right w:val="none" w:sz="0" w:space="0" w:color="auto"/>
      </w:divBdr>
    </w:div>
    <w:div w:id="1051611401">
      <w:bodyDiv w:val="1"/>
      <w:marLeft w:val="0"/>
      <w:marRight w:val="0"/>
      <w:marTop w:val="0"/>
      <w:marBottom w:val="0"/>
      <w:divBdr>
        <w:top w:val="none" w:sz="0" w:space="0" w:color="auto"/>
        <w:left w:val="none" w:sz="0" w:space="0" w:color="auto"/>
        <w:bottom w:val="none" w:sz="0" w:space="0" w:color="auto"/>
        <w:right w:val="none" w:sz="0" w:space="0" w:color="auto"/>
      </w:divBdr>
    </w:div>
    <w:div w:id="1062410443">
      <w:bodyDiv w:val="1"/>
      <w:marLeft w:val="0"/>
      <w:marRight w:val="0"/>
      <w:marTop w:val="0"/>
      <w:marBottom w:val="0"/>
      <w:divBdr>
        <w:top w:val="none" w:sz="0" w:space="0" w:color="auto"/>
        <w:left w:val="none" w:sz="0" w:space="0" w:color="auto"/>
        <w:bottom w:val="none" w:sz="0" w:space="0" w:color="auto"/>
        <w:right w:val="none" w:sz="0" w:space="0" w:color="auto"/>
      </w:divBdr>
    </w:div>
    <w:div w:id="1103452835">
      <w:bodyDiv w:val="1"/>
      <w:marLeft w:val="0"/>
      <w:marRight w:val="0"/>
      <w:marTop w:val="0"/>
      <w:marBottom w:val="0"/>
      <w:divBdr>
        <w:top w:val="none" w:sz="0" w:space="0" w:color="auto"/>
        <w:left w:val="none" w:sz="0" w:space="0" w:color="auto"/>
        <w:bottom w:val="none" w:sz="0" w:space="0" w:color="auto"/>
        <w:right w:val="none" w:sz="0" w:space="0" w:color="auto"/>
      </w:divBdr>
    </w:div>
    <w:div w:id="1129129974">
      <w:bodyDiv w:val="1"/>
      <w:marLeft w:val="0"/>
      <w:marRight w:val="0"/>
      <w:marTop w:val="0"/>
      <w:marBottom w:val="0"/>
      <w:divBdr>
        <w:top w:val="none" w:sz="0" w:space="0" w:color="auto"/>
        <w:left w:val="none" w:sz="0" w:space="0" w:color="auto"/>
        <w:bottom w:val="none" w:sz="0" w:space="0" w:color="auto"/>
        <w:right w:val="none" w:sz="0" w:space="0" w:color="auto"/>
      </w:divBdr>
    </w:div>
    <w:div w:id="1216967674">
      <w:bodyDiv w:val="1"/>
      <w:marLeft w:val="0"/>
      <w:marRight w:val="0"/>
      <w:marTop w:val="0"/>
      <w:marBottom w:val="0"/>
      <w:divBdr>
        <w:top w:val="none" w:sz="0" w:space="0" w:color="auto"/>
        <w:left w:val="none" w:sz="0" w:space="0" w:color="auto"/>
        <w:bottom w:val="none" w:sz="0" w:space="0" w:color="auto"/>
        <w:right w:val="none" w:sz="0" w:space="0" w:color="auto"/>
      </w:divBdr>
    </w:div>
    <w:div w:id="1250892126">
      <w:bodyDiv w:val="1"/>
      <w:marLeft w:val="0"/>
      <w:marRight w:val="0"/>
      <w:marTop w:val="0"/>
      <w:marBottom w:val="0"/>
      <w:divBdr>
        <w:top w:val="none" w:sz="0" w:space="0" w:color="auto"/>
        <w:left w:val="none" w:sz="0" w:space="0" w:color="auto"/>
        <w:bottom w:val="none" w:sz="0" w:space="0" w:color="auto"/>
        <w:right w:val="none" w:sz="0" w:space="0" w:color="auto"/>
      </w:divBdr>
    </w:div>
    <w:div w:id="1308783721">
      <w:bodyDiv w:val="1"/>
      <w:marLeft w:val="0"/>
      <w:marRight w:val="0"/>
      <w:marTop w:val="0"/>
      <w:marBottom w:val="0"/>
      <w:divBdr>
        <w:top w:val="none" w:sz="0" w:space="0" w:color="auto"/>
        <w:left w:val="none" w:sz="0" w:space="0" w:color="auto"/>
        <w:bottom w:val="none" w:sz="0" w:space="0" w:color="auto"/>
        <w:right w:val="none" w:sz="0" w:space="0" w:color="auto"/>
      </w:divBdr>
    </w:div>
    <w:div w:id="1315835900">
      <w:bodyDiv w:val="1"/>
      <w:marLeft w:val="0"/>
      <w:marRight w:val="0"/>
      <w:marTop w:val="0"/>
      <w:marBottom w:val="0"/>
      <w:divBdr>
        <w:top w:val="none" w:sz="0" w:space="0" w:color="auto"/>
        <w:left w:val="none" w:sz="0" w:space="0" w:color="auto"/>
        <w:bottom w:val="none" w:sz="0" w:space="0" w:color="auto"/>
        <w:right w:val="none" w:sz="0" w:space="0" w:color="auto"/>
      </w:divBdr>
    </w:div>
    <w:div w:id="1389569038">
      <w:bodyDiv w:val="1"/>
      <w:marLeft w:val="0"/>
      <w:marRight w:val="0"/>
      <w:marTop w:val="0"/>
      <w:marBottom w:val="0"/>
      <w:divBdr>
        <w:top w:val="none" w:sz="0" w:space="0" w:color="auto"/>
        <w:left w:val="none" w:sz="0" w:space="0" w:color="auto"/>
        <w:bottom w:val="none" w:sz="0" w:space="0" w:color="auto"/>
        <w:right w:val="none" w:sz="0" w:space="0" w:color="auto"/>
      </w:divBdr>
    </w:div>
    <w:div w:id="1402143490">
      <w:bodyDiv w:val="1"/>
      <w:marLeft w:val="0"/>
      <w:marRight w:val="0"/>
      <w:marTop w:val="0"/>
      <w:marBottom w:val="0"/>
      <w:divBdr>
        <w:top w:val="none" w:sz="0" w:space="0" w:color="auto"/>
        <w:left w:val="none" w:sz="0" w:space="0" w:color="auto"/>
        <w:bottom w:val="none" w:sz="0" w:space="0" w:color="auto"/>
        <w:right w:val="none" w:sz="0" w:space="0" w:color="auto"/>
      </w:divBdr>
    </w:div>
    <w:div w:id="1483736296">
      <w:bodyDiv w:val="1"/>
      <w:marLeft w:val="0"/>
      <w:marRight w:val="0"/>
      <w:marTop w:val="0"/>
      <w:marBottom w:val="0"/>
      <w:divBdr>
        <w:top w:val="none" w:sz="0" w:space="0" w:color="auto"/>
        <w:left w:val="none" w:sz="0" w:space="0" w:color="auto"/>
        <w:bottom w:val="none" w:sz="0" w:space="0" w:color="auto"/>
        <w:right w:val="none" w:sz="0" w:space="0" w:color="auto"/>
      </w:divBdr>
    </w:div>
    <w:div w:id="1499154732">
      <w:bodyDiv w:val="1"/>
      <w:marLeft w:val="0"/>
      <w:marRight w:val="0"/>
      <w:marTop w:val="0"/>
      <w:marBottom w:val="0"/>
      <w:divBdr>
        <w:top w:val="none" w:sz="0" w:space="0" w:color="auto"/>
        <w:left w:val="none" w:sz="0" w:space="0" w:color="auto"/>
        <w:bottom w:val="none" w:sz="0" w:space="0" w:color="auto"/>
        <w:right w:val="none" w:sz="0" w:space="0" w:color="auto"/>
      </w:divBdr>
    </w:div>
    <w:div w:id="1540821438">
      <w:bodyDiv w:val="1"/>
      <w:marLeft w:val="0"/>
      <w:marRight w:val="0"/>
      <w:marTop w:val="0"/>
      <w:marBottom w:val="0"/>
      <w:divBdr>
        <w:top w:val="none" w:sz="0" w:space="0" w:color="auto"/>
        <w:left w:val="none" w:sz="0" w:space="0" w:color="auto"/>
        <w:bottom w:val="none" w:sz="0" w:space="0" w:color="auto"/>
        <w:right w:val="none" w:sz="0" w:space="0" w:color="auto"/>
      </w:divBdr>
    </w:div>
    <w:div w:id="1550993666">
      <w:bodyDiv w:val="1"/>
      <w:marLeft w:val="0"/>
      <w:marRight w:val="0"/>
      <w:marTop w:val="0"/>
      <w:marBottom w:val="0"/>
      <w:divBdr>
        <w:top w:val="none" w:sz="0" w:space="0" w:color="auto"/>
        <w:left w:val="none" w:sz="0" w:space="0" w:color="auto"/>
        <w:bottom w:val="none" w:sz="0" w:space="0" w:color="auto"/>
        <w:right w:val="none" w:sz="0" w:space="0" w:color="auto"/>
      </w:divBdr>
    </w:div>
    <w:div w:id="1552154714">
      <w:bodyDiv w:val="1"/>
      <w:marLeft w:val="0"/>
      <w:marRight w:val="0"/>
      <w:marTop w:val="0"/>
      <w:marBottom w:val="0"/>
      <w:divBdr>
        <w:top w:val="none" w:sz="0" w:space="0" w:color="auto"/>
        <w:left w:val="none" w:sz="0" w:space="0" w:color="auto"/>
        <w:bottom w:val="none" w:sz="0" w:space="0" w:color="auto"/>
        <w:right w:val="none" w:sz="0" w:space="0" w:color="auto"/>
      </w:divBdr>
    </w:div>
    <w:div w:id="1565408032">
      <w:bodyDiv w:val="1"/>
      <w:marLeft w:val="0"/>
      <w:marRight w:val="0"/>
      <w:marTop w:val="0"/>
      <w:marBottom w:val="0"/>
      <w:divBdr>
        <w:top w:val="none" w:sz="0" w:space="0" w:color="auto"/>
        <w:left w:val="none" w:sz="0" w:space="0" w:color="auto"/>
        <w:bottom w:val="none" w:sz="0" w:space="0" w:color="auto"/>
        <w:right w:val="none" w:sz="0" w:space="0" w:color="auto"/>
      </w:divBdr>
    </w:div>
    <w:div w:id="1571192738">
      <w:bodyDiv w:val="1"/>
      <w:marLeft w:val="0"/>
      <w:marRight w:val="0"/>
      <w:marTop w:val="0"/>
      <w:marBottom w:val="0"/>
      <w:divBdr>
        <w:top w:val="none" w:sz="0" w:space="0" w:color="auto"/>
        <w:left w:val="none" w:sz="0" w:space="0" w:color="auto"/>
        <w:bottom w:val="none" w:sz="0" w:space="0" w:color="auto"/>
        <w:right w:val="none" w:sz="0" w:space="0" w:color="auto"/>
      </w:divBdr>
    </w:div>
    <w:div w:id="1671102527">
      <w:bodyDiv w:val="1"/>
      <w:marLeft w:val="0"/>
      <w:marRight w:val="0"/>
      <w:marTop w:val="0"/>
      <w:marBottom w:val="0"/>
      <w:divBdr>
        <w:top w:val="none" w:sz="0" w:space="0" w:color="auto"/>
        <w:left w:val="none" w:sz="0" w:space="0" w:color="auto"/>
        <w:bottom w:val="none" w:sz="0" w:space="0" w:color="auto"/>
        <w:right w:val="none" w:sz="0" w:space="0" w:color="auto"/>
      </w:divBdr>
    </w:div>
    <w:div w:id="1731683786">
      <w:bodyDiv w:val="1"/>
      <w:marLeft w:val="0"/>
      <w:marRight w:val="0"/>
      <w:marTop w:val="0"/>
      <w:marBottom w:val="0"/>
      <w:divBdr>
        <w:top w:val="none" w:sz="0" w:space="0" w:color="auto"/>
        <w:left w:val="none" w:sz="0" w:space="0" w:color="auto"/>
        <w:bottom w:val="none" w:sz="0" w:space="0" w:color="auto"/>
        <w:right w:val="none" w:sz="0" w:space="0" w:color="auto"/>
      </w:divBdr>
    </w:div>
    <w:div w:id="1758554494">
      <w:bodyDiv w:val="1"/>
      <w:marLeft w:val="0"/>
      <w:marRight w:val="0"/>
      <w:marTop w:val="0"/>
      <w:marBottom w:val="0"/>
      <w:divBdr>
        <w:top w:val="none" w:sz="0" w:space="0" w:color="auto"/>
        <w:left w:val="none" w:sz="0" w:space="0" w:color="auto"/>
        <w:bottom w:val="none" w:sz="0" w:space="0" w:color="auto"/>
        <w:right w:val="none" w:sz="0" w:space="0" w:color="auto"/>
      </w:divBdr>
    </w:div>
    <w:div w:id="1872379906">
      <w:bodyDiv w:val="1"/>
      <w:marLeft w:val="0"/>
      <w:marRight w:val="0"/>
      <w:marTop w:val="0"/>
      <w:marBottom w:val="0"/>
      <w:divBdr>
        <w:top w:val="none" w:sz="0" w:space="0" w:color="auto"/>
        <w:left w:val="none" w:sz="0" w:space="0" w:color="auto"/>
        <w:bottom w:val="none" w:sz="0" w:space="0" w:color="auto"/>
        <w:right w:val="none" w:sz="0" w:space="0" w:color="auto"/>
      </w:divBdr>
    </w:div>
    <w:div w:id="1952467428">
      <w:bodyDiv w:val="1"/>
      <w:marLeft w:val="0"/>
      <w:marRight w:val="0"/>
      <w:marTop w:val="0"/>
      <w:marBottom w:val="0"/>
      <w:divBdr>
        <w:top w:val="none" w:sz="0" w:space="0" w:color="auto"/>
        <w:left w:val="none" w:sz="0" w:space="0" w:color="auto"/>
        <w:bottom w:val="none" w:sz="0" w:space="0" w:color="auto"/>
        <w:right w:val="none" w:sz="0" w:space="0" w:color="auto"/>
      </w:divBdr>
    </w:div>
    <w:div w:id="1965887714">
      <w:bodyDiv w:val="1"/>
      <w:marLeft w:val="0"/>
      <w:marRight w:val="0"/>
      <w:marTop w:val="0"/>
      <w:marBottom w:val="0"/>
      <w:divBdr>
        <w:top w:val="none" w:sz="0" w:space="0" w:color="auto"/>
        <w:left w:val="none" w:sz="0" w:space="0" w:color="auto"/>
        <w:bottom w:val="none" w:sz="0" w:space="0" w:color="auto"/>
        <w:right w:val="none" w:sz="0" w:space="0" w:color="auto"/>
      </w:divBdr>
    </w:div>
    <w:div w:id="2055738841">
      <w:bodyDiv w:val="1"/>
      <w:marLeft w:val="0"/>
      <w:marRight w:val="0"/>
      <w:marTop w:val="0"/>
      <w:marBottom w:val="0"/>
      <w:divBdr>
        <w:top w:val="none" w:sz="0" w:space="0" w:color="auto"/>
        <w:left w:val="none" w:sz="0" w:space="0" w:color="auto"/>
        <w:bottom w:val="none" w:sz="0" w:space="0" w:color="auto"/>
        <w:right w:val="none" w:sz="0" w:space="0" w:color="auto"/>
      </w:divBdr>
    </w:div>
    <w:div w:id="2070838546">
      <w:bodyDiv w:val="1"/>
      <w:marLeft w:val="0"/>
      <w:marRight w:val="0"/>
      <w:marTop w:val="0"/>
      <w:marBottom w:val="0"/>
      <w:divBdr>
        <w:top w:val="none" w:sz="0" w:space="0" w:color="auto"/>
        <w:left w:val="none" w:sz="0" w:space="0" w:color="auto"/>
        <w:bottom w:val="none" w:sz="0" w:space="0" w:color="auto"/>
        <w:right w:val="none" w:sz="0" w:space="0" w:color="auto"/>
      </w:divBdr>
    </w:div>
    <w:div w:id="21273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Search/Results" TargetMode="External"/><Relationship Id="rId13" Type="http://schemas.openxmlformats.org/officeDocument/2006/relationships/hyperlink" Target="https://planningregister.cherwell.gov.uk/Planning/Display/21/00269/TCA" TargetMode="External"/><Relationship Id="rId18" Type="http://schemas.openxmlformats.org/officeDocument/2006/relationships/hyperlink" Target="https://planningregister.cherwell.gov.uk/Search/Results" TargetMode="External"/><Relationship Id="rId26" Type="http://schemas.openxmlformats.org/officeDocument/2006/relationships/hyperlink" Target="https://planningregister.cherwell.gov.uk/Search/Results" TargetMode="External"/><Relationship Id="rId39"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planningregister.cherwell.gov.uk/Planning/Display/20/03489/TCA" TargetMode="External"/><Relationship Id="rId34" Type="http://schemas.openxmlformats.org/officeDocument/2006/relationships/hyperlink" Target="https://planningregister.cherwell.gov.uk/Planning/Display/20/03063/TCA"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nningregister.cherwell.gov.uk/Search/Results" TargetMode="External"/><Relationship Id="rId17" Type="http://schemas.openxmlformats.org/officeDocument/2006/relationships/hyperlink" Target="https://planningregister.cherwell.gov.uk/Search/Results" TargetMode="External"/><Relationship Id="rId25" Type="http://schemas.openxmlformats.org/officeDocument/2006/relationships/hyperlink" Target="https://planningregister.cherwell.gov.uk/Search/Results" TargetMode="External"/><Relationship Id="rId33" Type="http://schemas.openxmlformats.org/officeDocument/2006/relationships/hyperlink" Target="https://planningregister.cherwell.gov.uk/Search/Resul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nningregister.cherwell.gov.uk/Search/Results" TargetMode="External"/><Relationship Id="rId20" Type="http://schemas.openxmlformats.org/officeDocument/2006/relationships/hyperlink" Target="https://planningregister.cherwell.gov.uk/Planning/Display/20/02460/F" TargetMode="External"/><Relationship Id="rId29" Type="http://schemas.openxmlformats.org/officeDocument/2006/relationships/hyperlink" Target="https://planningregister.cherwell.gov.uk/Search/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Search/Results" TargetMode="External"/><Relationship Id="rId24" Type="http://schemas.openxmlformats.org/officeDocument/2006/relationships/hyperlink" Target="https://planningregister.cherwell.gov.uk/Search/Results" TargetMode="External"/><Relationship Id="rId32" Type="http://schemas.openxmlformats.org/officeDocument/2006/relationships/hyperlink" Target="https://planningregister.cherwell.gov.uk/Search/Result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nningregister.cherwell.gov.uk/Search/Results" TargetMode="External"/><Relationship Id="rId23" Type="http://schemas.openxmlformats.org/officeDocument/2006/relationships/hyperlink" Target="https://planningregister.cherwell.gov.uk/Search/Results" TargetMode="External"/><Relationship Id="rId28" Type="http://schemas.openxmlformats.org/officeDocument/2006/relationships/hyperlink" Target="https://planningregister.cherwell.gov.uk/Planning/Display/20/02453/F" TargetMode="External"/><Relationship Id="rId36" Type="http://schemas.openxmlformats.org/officeDocument/2006/relationships/hyperlink" Target="https://planningregister.cherwell.gov.uk/Planning/Display/20/03396/F" TargetMode="External"/><Relationship Id="rId10" Type="http://schemas.openxmlformats.org/officeDocument/2006/relationships/hyperlink" Target="https://planningregister.cherwell.gov.uk/Search/Results" TargetMode="External"/><Relationship Id="rId19" Type="http://schemas.openxmlformats.org/officeDocument/2006/relationships/hyperlink" Target="https://planningregister.cherwell.gov.uk/Search/Results" TargetMode="External"/><Relationship Id="rId31" Type="http://schemas.openxmlformats.org/officeDocument/2006/relationships/hyperlink" Target="https://planningregister.cherwell.gov.uk/Search/Results" TargetMode="External"/><Relationship Id="rId4" Type="http://schemas.openxmlformats.org/officeDocument/2006/relationships/settings" Target="settings.xml"/><Relationship Id="rId9" Type="http://schemas.openxmlformats.org/officeDocument/2006/relationships/hyperlink" Target="https://planningregister.cherwell.gov.uk/Search/Results" TargetMode="External"/><Relationship Id="rId14" Type="http://schemas.openxmlformats.org/officeDocument/2006/relationships/hyperlink" Target="https://planningregister.cherwell.gov.uk/Planning/Display/21/00164/TCA" TargetMode="External"/><Relationship Id="rId22" Type="http://schemas.openxmlformats.org/officeDocument/2006/relationships/hyperlink" Target="https://planningregister.cherwell.gov.uk/Planning/Display/20/02850/F" TargetMode="External"/><Relationship Id="rId27" Type="http://schemas.openxmlformats.org/officeDocument/2006/relationships/hyperlink" Target="https://planningregister.cherwell.gov.uk/Search/Results" TargetMode="External"/><Relationship Id="rId30" Type="http://schemas.openxmlformats.org/officeDocument/2006/relationships/hyperlink" Target="https://planningregister.cherwell.gov.uk/Search/Results" TargetMode="External"/><Relationship Id="rId35" Type="http://schemas.openxmlformats.org/officeDocument/2006/relationships/hyperlink" Target="https://planningregister.cherwell.gov.uk/Planning/Display/20/03397/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16C6-DC7E-4BA7-AA77-C5A0B322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Koberl</dc:creator>
  <cp:lastModifiedBy>Hornton Clerk</cp:lastModifiedBy>
  <cp:revision>2</cp:revision>
  <cp:lastPrinted>2020-09-18T13:12:00Z</cp:lastPrinted>
  <dcterms:created xsi:type="dcterms:W3CDTF">2022-03-31T17:53:00Z</dcterms:created>
  <dcterms:modified xsi:type="dcterms:W3CDTF">2022-03-31T17:53:00Z</dcterms:modified>
</cp:coreProperties>
</file>